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71AC" w14:textId="09C157BC" w:rsidR="00B806E8" w:rsidRPr="00A17F41" w:rsidRDefault="00715591">
      <w:pPr>
        <w:rPr>
          <w:lang w:val="tr-TR"/>
        </w:rPr>
      </w:pPr>
      <w:r w:rsidRPr="00A17F41">
        <w:rPr>
          <w:noProof/>
          <w:lang w:val="tr-TR"/>
        </w:rPr>
        <w:drawing>
          <wp:anchor distT="0" distB="0" distL="114300" distR="114300" simplePos="0" relativeHeight="251658240" behindDoc="0" locked="0" layoutInCell="1" allowOverlap="1" wp14:anchorId="71705DD7" wp14:editId="4FF26D82">
            <wp:simplePos x="0" y="0"/>
            <wp:positionH relativeFrom="column">
              <wp:posOffset>374650</wp:posOffset>
            </wp:positionH>
            <wp:positionV relativeFrom="paragraph">
              <wp:posOffset>0</wp:posOffset>
            </wp:positionV>
            <wp:extent cx="4711700" cy="346934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 call - WORD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1700" cy="3469341"/>
                    </a:xfrm>
                    <a:prstGeom prst="rect">
                      <a:avLst/>
                    </a:prstGeom>
                  </pic:spPr>
                </pic:pic>
              </a:graphicData>
            </a:graphic>
          </wp:anchor>
        </w:drawing>
      </w:r>
    </w:p>
    <w:p w14:paraId="608373B0" w14:textId="77777777" w:rsidR="00B806E8" w:rsidRPr="00A17F41" w:rsidRDefault="00B806E8">
      <w:pPr>
        <w:rPr>
          <w:lang w:val="tr-TR"/>
        </w:rPr>
      </w:pPr>
    </w:p>
    <w:p w14:paraId="575E02D2" w14:textId="77777777" w:rsidR="008B4AEB" w:rsidRPr="00A17F41" w:rsidRDefault="008B4AEB">
      <w:pPr>
        <w:rPr>
          <w:lang w:val="tr-TR"/>
        </w:rPr>
      </w:pPr>
    </w:p>
    <w:p w14:paraId="0D1F99F9" w14:textId="77777777" w:rsidR="008B4AEB" w:rsidRPr="00A17F41" w:rsidRDefault="008B4AEB">
      <w:pPr>
        <w:rPr>
          <w:lang w:val="tr-TR"/>
        </w:rPr>
      </w:pPr>
    </w:p>
    <w:p w14:paraId="3313092B" w14:textId="77777777" w:rsidR="008B4AEB" w:rsidRPr="00A17F41" w:rsidRDefault="008B4AEB">
      <w:pPr>
        <w:rPr>
          <w:lang w:val="tr-TR"/>
        </w:rPr>
      </w:pPr>
    </w:p>
    <w:p w14:paraId="2A83EB71" w14:textId="77777777" w:rsidR="008B4AEB" w:rsidRPr="00A17F41" w:rsidRDefault="008B4AEB">
      <w:pPr>
        <w:rPr>
          <w:lang w:val="tr-TR"/>
        </w:rPr>
      </w:pPr>
    </w:p>
    <w:p w14:paraId="77F1D378" w14:textId="77777777" w:rsidR="008B4AEB" w:rsidRPr="00A17F41" w:rsidRDefault="008B4AEB">
      <w:pPr>
        <w:rPr>
          <w:lang w:val="tr-TR"/>
        </w:rPr>
      </w:pPr>
    </w:p>
    <w:p w14:paraId="2E859E30" w14:textId="77777777" w:rsidR="008B4AEB" w:rsidRPr="00A17F41" w:rsidRDefault="008B4AEB">
      <w:pPr>
        <w:rPr>
          <w:lang w:val="tr-TR"/>
        </w:rPr>
      </w:pPr>
    </w:p>
    <w:p w14:paraId="79B5E0C8" w14:textId="77777777" w:rsidR="008B4AEB" w:rsidRPr="00A17F41" w:rsidRDefault="008B4AEB">
      <w:pPr>
        <w:rPr>
          <w:lang w:val="tr-TR"/>
        </w:rPr>
      </w:pPr>
    </w:p>
    <w:p w14:paraId="4E6DFCC6" w14:textId="77777777" w:rsidR="008B4AEB" w:rsidRPr="00A17F41" w:rsidRDefault="008B4AEB">
      <w:pPr>
        <w:rPr>
          <w:lang w:val="tr-TR"/>
        </w:rPr>
      </w:pPr>
    </w:p>
    <w:p w14:paraId="139F314E" w14:textId="77777777" w:rsidR="008B4AEB" w:rsidRPr="00A17F41" w:rsidRDefault="008B4AEB">
      <w:pPr>
        <w:rPr>
          <w:lang w:val="tr-TR"/>
        </w:rPr>
      </w:pPr>
    </w:p>
    <w:p w14:paraId="0EF8B7D8" w14:textId="77777777" w:rsidR="008B4AEB" w:rsidRPr="00A17F41" w:rsidRDefault="008B4AEB">
      <w:pPr>
        <w:rPr>
          <w:lang w:val="tr-TR"/>
        </w:rPr>
      </w:pPr>
    </w:p>
    <w:p w14:paraId="10E4E544" w14:textId="77777777" w:rsidR="00715591" w:rsidRPr="00A17F41" w:rsidRDefault="00715591" w:rsidP="00715591">
      <w:pPr>
        <w:shd w:val="clear" w:color="auto" w:fill="FFFFFF"/>
        <w:spacing w:before="300" w:after="150" w:line="240" w:lineRule="auto"/>
        <w:outlineLvl w:val="3"/>
        <w:rPr>
          <w:rFonts w:ascii="Times New Roman" w:eastAsia="Times New Roman" w:hAnsi="Times New Roman" w:cs="Times New Roman"/>
          <w:caps/>
          <w:color w:val="0D4C93"/>
          <w:sz w:val="24"/>
          <w:szCs w:val="24"/>
          <w:lang w:val="tr-TR"/>
        </w:rPr>
      </w:pPr>
    </w:p>
    <w:p w14:paraId="383C1721" w14:textId="77777777" w:rsidR="00715591" w:rsidRPr="00A17F41" w:rsidRDefault="00715591" w:rsidP="00715591">
      <w:pPr>
        <w:shd w:val="clear" w:color="auto" w:fill="FFFFFF"/>
        <w:spacing w:before="300" w:after="150" w:line="240" w:lineRule="auto"/>
        <w:outlineLvl w:val="3"/>
        <w:rPr>
          <w:rFonts w:ascii="Times New Roman" w:eastAsia="Times New Roman" w:hAnsi="Times New Roman" w:cs="Times New Roman"/>
          <w:b/>
          <w:caps/>
          <w:color w:val="0070C0"/>
          <w:sz w:val="24"/>
          <w:szCs w:val="24"/>
          <w:lang w:val="tr-TR"/>
        </w:rPr>
      </w:pPr>
      <w:r w:rsidRPr="00A17F41">
        <w:rPr>
          <w:rFonts w:ascii="Times New Roman" w:eastAsia="Times New Roman" w:hAnsi="Times New Roman" w:cs="Times New Roman"/>
          <w:b/>
          <w:caps/>
          <w:color w:val="0070C0"/>
          <w:sz w:val="24"/>
          <w:szCs w:val="24"/>
          <w:lang w:val="tr-TR"/>
        </w:rPr>
        <w:t xml:space="preserve">AĞIN TANIMLANMASI </w:t>
      </w:r>
    </w:p>
    <w:p w14:paraId="5D5D07EF" w14:textId="77777777" w:rsidR="00A17F41" w:rsidRPr="00A17F41" w:rsidRDefault="00A17F41" w:rsidP="00A17F41">
      <w:pPr>
        <w:ind w:firstLine="720"/>
        <w:rPr>
          <w:rFonts w:ascii="Times New Roman" w:eastAsia="Times New Roman" w:hAnsi="Times New Roman" w:cs="Times New Roman"/>
          <w:sz w:val="24"/>
          <w:szCs w:val="24"/>
          <w:lang w:val="tr-TR"/>
        </w:rPr>
      </w:pPr>
      <w:r w:rsidRPr="00A17F41">
        <w:rPr>
          <w:rFonts w:ascii="Times New Roman" w:eastAsia="Times New Roman" w:hAnsi="Times New Roman" w:cs="Times New Roman"/>
          <w:sz w:val="24"/>
          <w:szCs w:val="24"/>
          <w:lang w:val="tr-TR"/>
        </w:rPr>
        <w:t>İlk olarak 2016 yılında kurulan Batı Balkanlar ve Türkiye için Gençlik Merkezi Ağı (</w:t>
      </w:r>
      <w:proofErr w:type="spellStart"/>
      <w:r w:rsidRPr="00A17F41">
        <w:rPr>
          <w:rFonts w:ascii="Times New Roman" w:eastAsia="Times New Roman" w:hAnsi="Times New Roman" w:cs="Times New Roman"/>
          <w:sz w:val="24"/>
          <w:szCs w:val="24"/>
          <w:lang w:val="tr-TR"/>
        </w:rPr>
        <w:t>Youth</w:t>
      </w:r>
      <w:proofErr w:type="spellEnd"/>
      <w:r w:rsidRPr="00A17F41">
        <w:rPr>
          <w:rFonts w:ascii="Times New Roman" w:eastAsia="Times New Roman" w:hAnsi="Times New Roman" w:cs="Times New Roman"/>
          <w:sz w:val="24"/>
          <w:szCs w:val="24"/>
          <w:lang w:val="tr-TR"/>
        </w:rPr>
        <w:t xml:space="preserve"> </w:t>
      </w:r>
      <w:proofErr w:type="spellStart"/>
      <w:r w:rsidRPr="00A17F41">
        <w:rPr>
          <w:rFonts w:ascii="Times New Roman" w:eastAsia="Times New Roman" w:hAnsi="Times New Roman" w:cs="Times New Roman"/>
          <w:sz w:val="24"/>
          <w:szCs w:val="24"/>
          <w:lang w:val="tr-TR"/>
        </w:rPr>
        <w:t>Hub</w:t>
      </w:r>
      <w:proofErr w:type="spellEnd"/>
      <w:r w:rsidRPr="00A17F41">
        <w:rPr>
          <w:rFonts w:ascii="Times New Roman" w:eastAsia="Times New Roman" w:hAnsi="Times New Roman" w:cs="Times New Roman"/>
          <w:sz w:val="24"/>
          <w:szCs w:val="24"/>
          <w:lang w:val="tr-TR"/>
        </w:rPr>
        <w:t xml:space="preserve"> </w:t>
      </w:r>
      <w:proofErr w:type="spellStart"/>
      <w:r w:rsidRPr="00A17F41">
        <w:rPr>
          <w:rFonts w:ascii="Times New Roman" w:eastAsia="Times New Roman" w:hAnsi="Times New Roman" w:cs="Times New Roman"/>
          <w:sz w:val="24"/>
          <w:szCs w:val="24"/>
          <w:lang w:val="tr-TR"/>
        </w:rPr>
        <w:t>for</w:t>
      </w:r>
      <w:proofErr w:type="spellEnd"/>
      <w:r w:rsidRPr="00A17F41">
        <w:rPr>
          <w:rFonts w:ascii="Times New Roman" w:eastAsia="Times New Roman" w:hAnsi="Times New Roman" w:cs="Times New Roman"/>
          <w:sz w:val="24"/>
          <w:szCs w:val="24"/>
          <w:lang w:val="tr-TR"/>
        </w:rPr>
        <w:t xml:space="preserve"> Western </w:t>
      </w:r>
      <w:proofErr w:type="spellStart"/>
      <w:r w:rsidRPr="00A17F41">
        <w:rPr>
          <w:rFonts w:ascii="Times New Roman" w:eastAsia="Times New Roman" w:hAnsi="Times New Roman" w:cs="Times New Roman"/>
          <w:sz w:val="24"/>
          <w:szCs w:val="24"/>
          <w:lang w:val="tr-TR"/>
        </w:rPr>
        <w:t>Balkans</w:t>
      </w:r>
      <w:proofErr w:type="spellEnd"/>
      <w:r w:rsidRPr="00A17F41">
        <w:rPr>
          <w:rFonts w:ascii="Times New Roman" w:eastAsia="Times New Roman" w:hAnsi="Times New Roman" w:cs="Times New Roman"/>
          <w:sz w:val="24"/>
          <w:szCs w:val="24"/>
          <w:lang w:val="tr-TR"/>
        </w:rPr>
        <w:t xml:space="preserve"> </w:t>
      </w:r>
      <w:proofErr w:type="spellStart"/>
      <w:r w:rsidRPr="00A17F41">
        <w:rPr>
          <w:rFonts w:ascii="Times New Roman" w:eastAsia="Times New Roman" w:hAnsi="Times New Roman" w:cs="Times New Roman"/>
          <w:sz w:val="24"/>
          <w:szCs w:val="24"/>
          <w:lang w:val="tr-TR"/>
        </w:rPr>
        <w:t>and</w:t>
      </w:r>
      <w:proofErr w:type="spellEnd"/>
      <w:r w:rsidRPr="00A17F41">
        <w:rPr>
          <w:rFonts w:ascii="Times New Roman" w:eastAsia="Times New Roman" w:hAnsi="Times New Roman" w:cs="Times New Roman"/>
          <w:sz w:val="24"/>
          <w:szCs w:val="24"/>
          <w:lang w:val="tr-TR"/>
        </w:rPr>
        <w:t xml:space="preserve"> Türkiye), Arnavutluk, Bosna-Hersek, Kosova, Karadağ, Kuzey Makedonya, Sırbistan ve Türkiye'den 68 gençten oluşan bir ağdır. Bu ağ, söz konusu ülkelerde gençlerin katılımını artırmayı hedeflemektedir.</w:t>
      </w:r>
    </w:p>
    <w:p w14:paraId="74501404" w14:textId="00858FF0" w:rsidR="00715591" w:rsidRDefault="00A17F41" w:rsidP="00A17F41">
      <w:pPr>
        <w:ind w:firstLine="720"/>
        <w:rPr>
          <w:rFonts w:ascii="Times New Roman" w:eastAsia="Times New Roman" w:hAnsi="Times New Roman" w:cs="Times New Roman"/>
          <w:sz w:val="24"/>
          <w:szCs w:val="24"/>
          <w:lang w:val="tr-TR"/>
        </w:rPr>
      </w:pPr>
      <w:r w:rsidRPr="00A17F41">
        <w:rPr>
          <w:rFonts w:ascii="Times New Roman" w:eastAsia="Times New Roman" w:hAnsi="Times New Roman" w:cs="Times New Roman"/>
          <w:sz w:val="24"/>
          <w:szCs w:val="24"/>
          <w:lang w:val="tr-TR"/>
        </w:rPr>
        <w:t>Ağ; gençliğin durumuna ilişkin veri toplar, tüm ülkelerde gençlerin katılım düzeyini izler ve değerlendirir. Her ülkede gençlerin siyasi, ekonomik ve sosyal yaşama daha aktif katılımını sağlamak amacıyla gençlik politikalarının iyileştirilmesini destekler.</w:t>
      </w:r>
      <w:r w:rsidR="00715591" w:rsidRPr="00A17F41">
        <w:rPr>
          <w:rFonts w:ascii="Times New Roman" w:eastAsia="Times New Roman" w:hAnsi="Times New Roman" w:cs="Times New Roman"/>
          <w:sz w:val="24"/>
          <w:szCs w:val="24"/>
          <w:lang w:val="tr-TR"/>
        </w:rPr>
        <w:t xml:space="preserve"> </w:t>
      </w:r>
      <w:bookmarkStart w:id="0" w:name="_Hlk204767247"/>
      <w:bookmarkEnd w:id="0"/>
    </w:p>
    <w:p w14:paraId="1EEF97E5" w14:textId="6579B35B" w:rsidR="00A17F41" w:rsidRDefault="00A17F41" w:rsidP="00A17F41">
      <w:pPr>
        <w:ind w:firstLine="720"/>
        <w:rPr>
          <w:rFonts w:ascii="Times New Roman" w:eastAsia="Times New Roman" w:hAnsi="Times New Roman" w:cs="Times New Roman"/>
          <w:sz w:val="24"/>
          <w:szCs w:val="24"/>
          <w:lang w:val="tr-TR"/>
        </w:rPr>
      </w:pPr>
    </w:p>
    <w:p w14:paraId="08E285C6" w14:textId="7532BCFE" w:rsidR="00A17F41" w:rsidRDefault="00A17F41" w:rsidP="00A17F41">
      <w:pPr>
        <w:ind w:firstLine="720"/>
        <w:rPr>
          <w:rFonts w:ascii="Times New Roman" w:eastAsia="Times New Roman" w:hAnsi="Times New Roman" w:cs="Times New Roman"/>
          <w:sz w:val="24"/>
          <w:szCs w:val="24"/>
          <w:lang w:val="tr-TR"/>
        </w:rPr>
      </w:pPr>
    </w:p>
    <w:p w14:paraId="368941BA" w14:textId="4AAB5450" w:rsidR="00A17F41" w:rsidRDefault="00A17F41" w:rsidP="00A17F41">
      <w:pPr>
        <w:ind w:firstLine="720"/>
        <w:rPr>
          <w:rFonts w:ascii="Times New Roman" w:eastAsia="Times New Roman" w:hAnsi="Times New Roman" w:cs="Times New Roman"/>
          <w:sz w:val="24"/>
          <w:szCs w:val="24"/>
          <w:lang w:val="tr-TR"/>
        </w:rPr>
      </w:pPr>
    </w:p>
    <w:p w14:paraId="29CE4F70" w14:textId="6ACA5560" w:rsidR="00A17F41" w:rsidRDefault="00A17F41" w:rsidP="00A17F41">
      <w:pPr>
        <w:ind w:firstLine="720"/>
        <w:rPr>
          <w:rFonts w:ascii="Times New Roman" w:eastAsia="Times New Roman" w:hAnsi="Times New Roman" w:cs="Times New Roman"/>
          <w:sz w:val="24"/>
          <w:szCs w:val="24"/>
          <w:lang w:val="tr-TR"/>
        </w:rPr>
      </w:pPr>
    </w:p>
    <w:p w14:paraId="6F3A2DF9" w14:textId="26028B17" w:rsidR="00A17F41" w:rsidRDefault="00A17F41" w:rsidP="00A17F41">
      <w:pPr>
        <w:ind w:firstLine="720"/>
        <w:rPr>
          <w:rFonts w:ascii="Times New Roman" w:eastAsia="Times New Roman" w:hAnsi="Times New Roman" w:cs="Times New Roman"/>
          <w:sz w:val="24"/>
          <w:szCs w:val="24"/>
          <w:lang w:val="tr-TR"/>
        </w:rPr>
      </w:pPr>
    </w:p>
    <w:p w14:paraId="4A9EBEE8" w14:textId="77777777" w:rsidR="00A17F41" w:rsidRPr="00A17F41" w:rsidRDefault="00A17F41" w:rsidP="00A17F41">
      <w:pPr>
        <w:ind w:firstLine="720"/>
        <w:rPr>
          <w:rFonts w:ascii="Times New Roman" w:eastAsia="Times New Roman" w:hAnsi="Times New Roman" w:cs="Times New Roman"/>
          <w:sz w:val="24"/>
          <w:szCs w:val="24"/>
          <w:lang w:val="tr-TR"/>
        </w:rPr>
      </w:pPr>
    </w:p>
    <w:p w14:paraId="3F1CE526" w14:textId="77777777" w:rsidR="00715591" w:rsidRPr="00A17F41" w:rsidRDefault="00715591" w:rsidP="00715591">
      <w:pPr>
        <w:shd w:val="clear" w:color="auto" w:fill="FFFFFF"/>
        <w:spacing w:before="300" w:after="150" w:line="240" w:lineRule="auto"/>
        <w:jc w:val="both"/>
        <w:outlineLvl w:val="3"/>
        <w:rPr>
          <w:rFonts w:ascii="Times New Roman" w:hAnsi="Times New Roman" w:cs="Times New Roman"/>
          <w:b/>
          <w:bCs/>
          <w:color w:val="0070C0"/>
          <w:sz w:val="24"/>
          <w:szCs w:val="24"/>
          <w:lang w:val="tr-TR"/>
        </w:rPr>
      </w:pPr>
      <w:r w:rsidRPr="00A17F41">
        <w:rPr>
          <w:rFonts w:ascii="Times New Roman" w:hAnsi="Times New Roman" w:cs="Times New Roman"/>
          <w:b/>
          <w:bCs/>
          <w:color w:val="0070C0"/>
          <w:sz w:val="24"/>
          <w:szCs w:val="24"/>
          <w:lang w:val="tr-TR"/>
        </w:rPr>
        <w:lastRenderedPageBreak/>
        <w:t>PROJENİN AÇIKLAMASI</w:t>
      </w:r>
    </w:p>
    <w:p w14:paraId="5FEF5800" w14:textId="77777777" w:rsidR="00A17F41" w:rsidRDefault="00A17F41" w:rsidP="00A17F41">
      <w:pPr>
        <w:shd w:val="clear" w:color="auto" w:fill="FFFFFF"/>
        <w:spacing w:before="300" w:after="150" w:line="240" w:lineRule="auto"/>
        <w:ind w:firstLine="720"/>
        <w:jc w:val="both"/>
        <w:outlineLvl w:val="3"/>
        <w:rPr>
          <w:rFonts w:ascii="Times New Roman" w:hAnsi="Times New Roman" w:cs="Times New Roman"/>
          <w:sz w:val="24"/>
          <w:szCs w:val="24"/>
          <w:lang w:val="tr-TR"/>
        </w:rPr>
      </w:pPr>
      <w:proofErr w:type="spellStart"/>
      <w:r w:rsidRPr="00A17F41">
        <w:rPr>
          <w:rFonts w:ascii="Times New Roman" w:hAnsi="Times New Roman" w:cs="Times New Roman"/>
          <w:sz w:val="24"/>
          <w:szCs w:val="24"/>
          <w:lang w:val="tr-TR"/>
        </w:rPr>
        <w:t>Eurostat’a</w:t>
      </w:r>
      <w:proofErr w:type="spellEnd"/>
      <w:r w:rsidRPr="00A17F41">
        <w:rPr>
          <w:rFonts w:ascii="Times New Roman" w:hAnsi="Times New Roman" w:cs="Times New Roman"/>
          <w:sz w:val="24"/>
          <w:szCs w:val="24"/>
          <w:lang w:val="tr-TR"/>
        </w:rPr>
        <w:t xml:space="preserve"> göre, Dünya Bankası verileriyle birlikte değerlendirildiğinde, Batı Balkanlar ve Türkiye bölgesindeki toplam genç nüfus 3,6 milyonun üzerindedir (toplam nüfusun %21,27’si). Türkiye’de ise genç nüfus yaklaşık 12 milyondur ve bu, toplam nüfusun %15,2’sine karşılık gelmektedir.</w:t>
      </w:r>
    </w:p>
    <w:p w14:paraId="6E3C67E5" w14:textId="77777777" w:rsidR="00A17F41" w:rsidRDefault="00A17F41" w:rsidP="00A17F41">
      <w:pPr>
        <w:shd w:val="clear" w:color="auto" w:fill="FFFFFF"/>
        <w:spacing w:before="300" w:after="150" w:line="240" w:lineRule="auto"/>
        <w:ind w:firstLine="720"/>
        <w:jc w:val="both"/>
        <w:outlineLvl w:val="3"/>
        <w:rPr>
          <w:rFonts w:ascii="Times New Roman" w:hAnsi="Times New Roman" w:cs="Times New Roman"/>
          <w:sz w:val="24"/>
          <w:szCs w:val="24"/>
          <w:lang w:val="tr-TR"/>
        </w:rPr>
      </w:pPr>
      <w:r w:rsidRPr="00A17F41">
        <w:rPr>
          <w:rFonts w:ascii="Times New Roman" w:hAnsi="Times New Roman" w:cs="Times New Roman"/>
          <w:sz w:val="24"/>
          <w:szCs w:val="24"/>
          <w:lang w:val="tr-TR"/>
        </w:rPr>
        <w:t>Proje kapsamındaki ülkeler; Avrupa Birliği’ne uyum süreci, kırılgan demokratik kurumlar, insan hakları ihlalleri, medya özgürlüğü ve çoğulculuk sorunları ile mücadele etmektedir. Aynı zamanda, özellikle gençler arasında Avrupa Birliği ülkelerine ve diğer ülkelere yönelik yoğun bir göç eğilimi söz konusudur.</w:t>
      </w:r>
    </w:p>
    <w:p w14:paraId="624666C8" w14:textId="77777777" w:rsidR="00A17F41" w:rsidRDefault="00A17F41" w:rsidP="00A17F41">
      <w:pPr>
        <w:shd w:val="clear" w:color="auto" w:fill="FFFFFF"/>
        <w:spacing w:before="300" w:after="150" w:line="240" w:lineRule="auto"/>
        <w:ind w:firstLine="720"/>
        <w:jc w:val="both"/>
        <w:outlineLvl w:val="3"/>
        <w:rPr>
          <w:rFonts w:ascii="Times New Roman" w:hAnsi="Times New Roman" w:cs="Times New Roman"/>
          <w:sz w:val="24"/>
          <w:szCs w:val="24"/>
          <w:lang w:val="tr-TR"/>
        </w:rPr>
      </w:pPr>
      <w:r w:rsidRPr="00A17F41">
        <w:rPr>
          <w:rFonts w:ascii="Times New Roman" w:hAnsi="Times New Roman" w:cs="Times New Roman"/>
          <w:sz w:val="24"/>
          <w:szCs w:val="24"/>
          <w:lang w:val="tr-TR"/>
        </w:rPr>
        <w:t>Gençler, bu ülkelerde nüfusun önemli bir bölümünü oluşturmalarına ve Dünya Bankası’nın da belirttiği üzere bölgenin bugünü ve geleceği açısından kritik bir role sahip olmalarına rağmen; yukarıda bahsedilen toplumsal ve siyasi süreçlere katılımları yetersiz kalmakta, bu da geçiş sürecindeki toplumlar üzerindeki etkilerini sınırlamaktadır.</w:t>
      </w:r>
    </w:p>
    <w:p w14:paraId="10B31F1C" w14:textId="77777777" w:rsidR="00A17F41" w:rsidRDefault="00A17F41" w:rsidP="00A17F41">
      <w:pPr>
        <w:shd w:val="clear" w:color="auto" w:fill="FFFFFF"/>
        <w:spacing w:before="300" w:after="150" w:line="240" w:lineRule="auto"/>
        <w:ind w:firstLine="720"/>
        <w:jc w:val="both"/>
        <w:outlineLvl w:val="3"/>
        <w:rPr>
          <w:rFonts w:ascii="Times New Roman" w:hAnsi="Times New Roman" w:cs="Times New Roman"/>
          <w:sz w:val="24"/>
          <w:szCs w:val="24"/>
          <w:lang w:val="tr-TR"/>
        </w:rPr>
      </w:pPr>
      <w:r w:rsidRPr="00A17F41">
        <w:rPr>
          <w:rFonts w:ascii="Times New Roman" w:hAnsi="Times New Roman" w:cs="Times New Roman"/>
          <w:sz w:val="24"/>
          <w:szCs w:val="24"/>
          <w:lang w:val="tr-TR"/>
        </w:rPr>
        <w:t xml:space="preserve">Bazı bölgelerde ve ülkelerde gençlere yönelik destek sistemleri kısmen işlese </w:t>
      </w:r>
      <w:proofErr w:type="gramStart"/>
      <w:r w:rsidRPr="00A17F41">
        <w:rPr>
          <w:rFonts w:ascii="Times New Roman" w:hAnsi="Times New Roman" w:cs="Times New Roman"/>
          <w:sz w:val="24"/>
          <w:szCs w:val="24"/>
          <w:lang w:val="tr-TR"/>
        </w:rPr>
        <w:t>de,</w:t>
      </w:r>
      <w:proofErr w:type="gramEnd"/>
      <w:r w:rsidRPr="00A17F41">
        <w:rPr>
          <w:rFonts w:ascii="Times New Roman" w:hAnsi="Times New Roman" w:cs="Times New Roman"/>
          <w:sz w:val="24"/>
          <w:szCs w:val="24"/>
          <w:lang w:val="tr-TR"/>
        </w:rPr>
        <w:t xml:space="preserve"> bu sistemler genellikle hâlihazırda aktif ya da katılımcı olan gençleri kapsamakta, gençlerin büyük bir bölümünü—özellikle genç kadınlar ve marjinalleştirilmiş gençleri—fırsatlar, bilgi, beceri ve kaynaklardan mahrum bırakmaktadır.</w:t>
      </w:r>
    </w:p>
    <w:p w14:paraId="516581AB" w14:textId="77777777" w:rsidR="00A17F41" w:rsidRDefault="00A17F41" w:rsidP="00A17F41">
      <w:pPr>
        <w:shd w:val="clear" w:color="auto" w:fill="FFFFFF"/>
        <w:spacing w:before="300" w:after="150" w:line="240" w:lineRule="auto"/>
        <w:ind w:firstLine="720"/>
        <w:jc w:val="both"/>
        <w:outlineLvl w:val="3"/>
        <w:rPr>
          <w:rFonts w:ascii="Times New Roman" w:hAnsi="Times New Roman" w:cs="Times New Roman"/>
          <w:sz w:val="24"/>
          <w:szCs w:val="24"/>
          <w:lang w:val="tr-TR"/>
        </w:rPr>
      </w:pPr>
      <w:r w:rsidRPr="00A17F41">
        <w:rPr>
          <w:rFonts w:ascii="Times New Roman" w:hAnsi="Times New Roman" w:cs="Times New Roman"/>
          <w:sz w:val="24"/>
          <w:szCs w:val="24"/>
          <w:lang w:val="tr-TR"/>
        </w:rPr>
        <w:t>Bu gençler; kaliteli iş olanaklarının eksikliği, yetersiz eğitim fırsatları, yüksek yoksulluk riski ve kendileri adına savunuculuk yapabilecek siyasi temsilcilerin yokluğu gibi nedenlerle çok boyutlu dışlanmalarla karşı karşıyadır.</w:t>
      </w:r>
    </w:p>
    <w:p w14:paraId="6A66CF08" w14:textId="77777777" w:rsidR="00A17F41" w:rsidRDefault="00A17F41" w:rsidP="00A17F41">
      <w:pPr>
        <w:shd w:val="clear" w:color="auto" w:fill="FFFFFF"/>
        <w:spacing w:before="300" w:after="150" w:line="240" w:lineRule="auto"/>
        <w:ind w:firstLine="720"/>
        <w:jc w:val="both"/>
        <w:outlineLvl w:val="3"/>
        <w:rPr>
          <w:rFonts w:ascii="Times New Roman" w:hAnsi="Times New Roman" w:cs="Times New Roman"/>
          <w:sz w:val="24"/>
          <w:szCs w:val="24"/>
          <w:lang w:val="tr-TR"/>
        </w:rPr>
      </w:pPr>
      <w:r w:rsidRPr="00A17F41">
        <w:rPr>
          <w:rFonts w:ascii="Times New Roman" w:hAnsi="Times New Roman" w:cs="Times New Roman"/>
          <w:sz w:val="24"/>
          <w:szCs w:val="24"/>
          <w:lang w:val="tr-TR"/>
        </w:rPr>
        <w:t>Ağ tarafından yayımlanan 2023 Gençlik Katılım Endeksi (YPI), gençlerin (özellikle genç kadınların) siyasi yaşamda yetersiz temsil edildiğini, istihdam ve eğitim süreçlerinden dışlandığını ve yüksek yoksulluk riskiyle karşı karşıya olduklarını ortaya koymaktadır. Endeks, çeşitli göstergeler için toplumsal cinsiyet verileri ve analizleri sunarak; işgücüne katılım, NEET (ne eğitimde ne istihdamda olan gençler) oranları ve kadın girişimciliği konularında tüm ülkelerde önemli toplumsal cinsiyet farkları bulunduğunu göstermiştir.</w:t>
      </w:r>
    </w:p>
    <w:p w14:paraId="68768E0C" w14:textId="49A8C3A8" w:rsidR="00715591" w:rsidRPr="00A17F41" w:rsidRDefault="00A17F41" w:rsidP="00A17F41">
      <w:pPr>
        <w:shd w:val="clear" w:color="auto" w:fill="FFFFFF"/>
        <w:spacing w:before="300" w:after="150" w:line="240" w:lineRule="auto"/>
        <w:ind w:firstLine="720"/>
        <w:jc w:val="both"/>
        <w:outlineLvl w:val="3"/>
        <w:rPr>
          <w:rFonts w:ascii="Times New Roman" w:hAnsi="Times New Roman" w:cs="Times New Roman"/>
          <w:sz w:val="24"/>
          <w:szCs w:val="24"/>
          <w:lang w:val="tr-TR"/>
        </w:rPr>
      </w:pPr>
      <w:r w:rsidRPr="00A17F41">
        <w:rPr>
          <w:rFonts w:ascii="Times New Roman" w:hAnsi="Times New Roman" w:cs="Times New Roman"/>
          <w:sz w:val="24"/>
          <w:szCs w:val="24"/>
          <w:lang w:val="tr-TR"/>
        </w:rPr>
        <w:t>Bu proje, Avrupa Konseyi’nin 2022 yılında yayımladığı “Sivil Toplumu ve Gençleri Koruma Bildirgesi” ile de uyumludur. Bildirge, “daha demokratik, barışçıl ve kapsayıcı toplumlar inşa etmek için gençlerin demokratik yaşama, özellikle gençlik sivil toplumu aracılığıyla, gerçek ve anlamlı katılımının önemini” vurgulamaktadır.</w:t>
      </w:r>
    </w:p>
    <w:p w14:paraId="737FC468" w14:textId="77777777" w:rsidR="00A17F41" w:rsidRDefault="00A17F41" w:rsidP="00715591">
      <w:pPr>
        <w:shd w:val="clear" w:color="auto" w:fill="FFFFFF"/>
        <w:spacing w:before="300" w:after="150" w:line="240" w:lineRule="auto"/>
        <w:jc w:val="both"/>
        <w:outlineLvl w:val="3"/>
        <w:rPr>
          <w:rFonts w:ascii="Times New Roman" w:hAnsi="Times New Roman" w:cs="Times New Roman"/>
          <w:sz w:val="24"/>
          <w:szCs w:val="24"/>
          <w:lang w:val="tr-TR"/>
        </w:rPr>
      </w:pPr>
    </w:p>
    <w:p w14:paraId="6FA991E2" w14:textId="77777777" w:rsidR="00A17F41" w:rsidRDefault="00A17F41" w:rsidP="00715591">
      <w:pPr>
        <w:shd w:val="clear" w:color="auto" w:fill="FFFFFF"/>
        <w:spacing w:before="300" w:after="150" w:line="240" w:lineRule="auto"/>
        <w:jc w:val="both"/>
        <w:outlineLvl w:val="3"/>
        <w:rPr>
          <w:rFonts w:ascii="Times New Roman" w:eastAsia="Times New Roman" w:hAnsi="Times New Roman" w:cs="Times New Roman"/>
          <w:b/>
          <w:caps/>
          <w:color w:val="0070C0"/>
          <w:sz w:val="24"/>
          <w:szCs w:val="24"/>
          <w:lang w:val="tr-TR"/>
        </w:rPr>
      </w:pPr>
    </w:p>
    <w:p w14:paraId="23B9C4BD" w14:textId="77777777" w:rsidR="00A17F41" w:rsidRDefault="00A17F41" w:rsidP="00A17F41">
      <w:pPr>
        <w:shd w:val="clear" w:color="auto" w:fill="FFFFFF"/>
        <w:spacing w:before="300" w:after="150" w:line="240" w:lineRule="auto"/>
        <w:jc w:val="both"/>
        <w:outlineLvl w:val="3"/>
        <w:rPr>
          <w:rFonts w:ascii="Times New Roman" w:hAnsi="Times New Roman" w:cs="Times New Roman"/>
          <w:sz w:val="24"/>
          <w:szCs w:val="24"/>
          <w:lang w:val="tr-TR"/>
        </w:rPr>
      </w:pPr>
      <w:r>
        <w:rPr>
          <w:rFonts w:ascii="Times New Roman" w:hAnsi="Times New Roman" w:cs="Times New Roman"/>
          <w:sz w:val="24"/>
          <w:szCs w:val="24"/>
          <w:lang w:val="tr-TR"/>
        </w:rPr>
        <w:lastRenderedPageBreak/>
        <w:t>Proje hedefleri:</w:t>
      </w:r>
    </w:p>
    <w:p w14:paraId="56370282" w14:textId="77777777" w:rsidR="00A17F41" w:rsidRDefault="00A17F41" w:rsidP="00A17F41">
      <w:pPr>
        <w:pStyle w:val="ListeParagraf"/>
        <w:numPr>
          <w:ilvl w:val="0"/>
          <w:numId w:val="2"/>
        </w:numPr>
        <w:shd w:val="clear" w:color="auto" w:fill="FFFFFF"/>
        <w:spacing w:before="300" w:after="150" w:line="240" w:lineRule="auto"/>
        <w:jc w:val="both"/>
        <w:outlineLvl w:val="3"/>
        <w:rPr>
          <w:rFonts w:ascii="Times New Roman" w:hAnsi="Times New Roman" w:cs="Times New Roman"/>
          <w:sz w:val="24"/>
          <w:szCs w:val="24"/>
          <w:lang w:val="tr-TR"/>
        </w:rPr>
      </w:pPr>
      <w:r w:rsidRPr="00A17F41">
        <w:rPr>
          <w:rFonts w:ascii="Times New Roman" w:hAnsi="Times New Roman" w:cs="Times New Roman"/>
          <w:sz w:val="24"/>
          <w:szCs w:val="24"/>
          <w:lang w:val="tr-TR"/>
        </w:rPr>
        <w:t>Politika oluşturma ve reform süreçlerinin daha etkili uygulanabilmesi için kanıta dayalı savunuculuk sağlamak,</w:t>
      </w:r>
    </w:p>
    <w:p w14:paraId="7251628F" w14:textId="77777777" w:rsidR="00A17F41" w:rsidRDefault="00A17F41" w:rsidP="00A17F41">
      <w:pPr>
        <w:pStyle w:val="ListeParagraf"/>
        <w:numPr>
          <w:ilvl w:val="0"/>
          <w:numId w:val="2"/>
        </w:numPr>
        <w:shd w:val="clear" w:color="auto" w:fill="FFFFFF"/>
        <w:spacing w:before="300" w:after="150" w:line="240" w:lineRule="auto"/>
        <w:jc w:val="both"/>
        <w:outlineLvl w:val="3"/>
        <w:rPr>
          <w:rFonts w:ascii="Times New Roman" w:hAnsi="Times New Roman" w:cs="Times New Roman"/>
          <w:sz w:val="24"/>
          <w:szCs w:val="24"/>
          <w:lang w:val="tr-TR"/>
        </w:rPr>
      </w:pPr>
      <w:r w:rsidRPr="00A17F41">
        <w:rPr>
          <w:rFonts w:ascii="Times New Roman" w:hAnsi="Times New Roman" w:cs="Times New Roman"/>
          <w:sz w:val="24"/>
          <w:szCs w:val="24"/>
          <w:lang w:val="tr-TR"/>
        </w:rPr>
        <w:t>WB&amp;T Ağı kapsamındaki Gençlik Merkezi aracılığıyla, özellikle genç kadınlar ve erkekler konusunda karar alma süreçlerini ve toplumsal tartışmaları etkilemek amacıyla STK'ların kapasitelerini ve bölgesel iş birliğini güçlendirmek,</w:t>
      </w:r>
    </w:p>
    <w:p w14:paraId="793AB890" w14:textId="60F6ACD5" w:rsidR="00A17F41" w:rsidRPr="00A17F41" w:rsidRDefault="00A17F41" w:rsidP="00A17F41">
      <w:pPr>
        <w:pStyle w:val="ListeParagraf"/>
        <w:numPr>
          <w:ilvl w:val="0"/>
          <w:numId w:val="2"/>
        </w:numPr>
        <w:shd w:val="clear" w:color="auto" w:fill="FFFFFF"/>
        <w:spacing w:before="300" w:after="150" w:line="240" w:lineRule="auto"/>
        <w:jc w:val="both"/>
        <w:outlineLvl w:val="3"/>
        <w:rPr>
          <w:rFonts w:ascii="Times New Roman" w:hAnsi="Times New Roman" w:cs="Times New Roman"/>
          <w:sz w:val="24"/>
          <w:szCs w:val="24"/>
          <w:lang w:val="tr-TR"/>
        </w:rPr>
      </w:pPr>
      <w:r w:rsidRPr="00A17F41">
        <w:rPr>
          <w:rFonts w:ascii="Times New Roman" w:hAnsi="Times New Roman" w:cs="Times New Roman"/>
          <w:sz w:val="24"/>
          <w:szCs w:val="24"/>
          <w:lang w:val="tr-TR"/>
        </w:rPr>
        <w:t>Kamu bilincini artırmak, vatandaşları harekete geçirmek ve en geniş kapsamda sivil katılımı teşvik etmek amacıyla STK'ların katılımını, görünürlüğünü ve etkisini artırmak.</w:t>
      </w:r>
    </w:p>
    <w:p w14:paraId="686D035A" w14:textId="77777777" w:rsidR="00A17F41" w:rsidRDefault="00A17F41" w:rsidP="00715591">
      <w:pPr>
        <w:shd w:val="clear" w:color="auto" w:fill="FFFFFF"/>
        <w:spacing w:before="300" w:after="150" w:line="240" w:lineRule="auto"/>
        <w:jc w:val="both"/>
        <w:outlineLvl w:val="3"/>
        <w:rPr>
          <w:rFonts w:ascii="Times New Roman" w:eastAsia="Times New Roman" w:hAnsi="Times New Roman" w:cs="Times New Roman"/>
          <w:b/>
          <w:caps/>
          <w:color w:val="0070C0"/>
          <w:sz w:val="24"/>
          <w:szCs w:val="24"/>
          <w:lang w:val="tr-TR"/>
        </w:rPr>
      </w:pPr>
    </w:p>
    <w:p w14:paraId="307A5C77" w14:textId="77777777" w:rsidR="00A17F41" w:rsidRDefault="00715591" w:rsidP="00A17F41">
      <w:pPr>
        <w:shd w:val="clear" w:color="auto" w:fill="FFFFFF"/>
        <w:spacing w:before="300" w:after="150" w:line="240" w:lineRule="auto"/>
        <w:jc w:val="both"/>
        <w:outlineLvl w:val="3"/>
        <w:rPr>
          <w:rFonts w:ascii="Times New Roman" w:hAnsi="Times New Roman" w:cs="Times New Roman"/>
          <w:color w:val="0070C0"/>
          <w:sz w:val="24"/>
          <w:szCs w:val="24"/>
          <w:lang w:val="tr-TR"/>
        </w:rPr>
      </w:pPr>
      <w:r w:rsidRPr="00A17F41">
        <w:rPr>
          <w:rFonts w:ascii="Times New Roman" w:eastAsia="Times New Roman" w:hAnsi="Times New Roman" w:cs="Times New Roman"/>
          <w:b/>
          <w:caps/>
          <w:color w:val="0070C0"/>
          <w:sz w:val="24"/>
          <w:szCs w:val="24"/>
          <w:lang w:val="tr-TR"/>
        </w:rPr>
        <w:t xml:space="preserve">Sivil Toplum Kuruluşları Proje Teklif Çağrısı </w:t>
      </w:r>
    </w:p>
    <w:p w14:paraId="6166117B" w14:textId="267D5032" w:rsidR="00A17F41" w:rsidRPr="00A17F41" w:rsidRDefault="00A17F41" w:rsidP="00A17F41">
      <w:pPr>
        <w:shd w:val="clear" w:color="auto" w:fill="FFFFFF"/>
        <w:spacing w:before="300" w:after="150" w:line="240" w:lineRule="auto"/>
        <w:ind w:firstLine="720"/>
        <w:jc w:val="both"/>
        <w:outlineLvl w:val="3"/>
        <w:rPr>
          <w:rFonts w:ascii="Times New Roman" w:hAnsi="Times New Roman" w:cs="Times New Roman"/>
          <w:color w:val="0070C0"/>
          <w:sz w:val="24"/>
          <w:szCs w:val="24"/>
          <w:lang w:val="tr-TR"/>
        </w:rPr>
      </w:pPr>
      <w:r w:rsidRPr="00A17F41">
        <w:rPr>
          <w:rFonts w:ascii="Times New Roman" w:hAnsi="Times New Roman" w:cs="Times New Roman"/>
          <w:sz w:val="24"/>
          <w:szCs w:val="24"/>
          <w:lang w:val="tr-TR"/>
        </w:rPr>
        <w:t xml:space="preserve">Gençlerin katılımını artırmaya kendini adamış, yenilikçi fikirlere sahip, aktif olarak çalışan küçük ve orta ölçekli yerel sivil toplum kuruluşlarını—özellikle yeterince temsil edilmeyen ve savunmasız genç gruplarla çalışanları (örneğin: genç kadınlar ve kız çocukları, Roman gençler, engelli gençler, NEET gençler </w:t>
      </w:r>
      <w:proofErr w:type="gramStart"/>
      <w:r w:rsidRPr="00A17F41">
        <w:rPr>
          <w:rFonts w:ascii="Times New Roman" w:hAnsi="Times New Roman" w:cs="Times New Roman"/>
          <w:sz w:val="24"/>
          <w:szCs w:val="24"/>
          <w:lang w:val="tr-TR"/>
        </w:rPr>
        <w:t>vb.)—</w:t>
      </w:r>
      <w:proofErr w:type="gramEnd"/>
      <w:r w:rsidRPr="00A17F41">
        <w:rPr>
          <w:rFonts w:ascii="Times New Roman" w:hAnsi="Times New Roman" w:cs="Times New Roman"/>
          <w:sz w:val="24"/>
          <w:szCs w:val="24"/>
          <w:lang w:val="tr-TR"/>
        </w:rPr>
        <w:t>bu Teklif Çağrısına başvurmaya davet ediyoruz.</w:t>
      </w:r>
    </w:p>
    <w:p w14:paraId="0C1C3F80" w14:textId="77777777" w:rsidR="00A17F41" w:rsidRDefault="00A17F41" w:rsidP="00A17F41">
      <w:pPr>
        <w:spacing w:after="80" w:line="240" w:lineRule="auto"/>
        <w:jc w:val="both"/>
        <w:rPr>
          <w:rFonts w:ascii="Times New Roman" w:hAnsi="Times New Roman" w:cs="Times New Roman"/>
          <w:sz w:val="24"/>
          <w:szCs w:val="24"/>
          <w:lang w:val="tr-TR"/>
        </w:rPr>
      </w:pPr>
    </w:p>
    <w:p w14:paraId="1D9EFEB0" w14:textId="613A13F3" w:rsidR="00A17F41" w:rsidRPr="00A17F41" w:rsidRDefault="00A17F41" w:rsidP="00A17F41">
      <w:pPr>
        <w:spacing w:after="80" w:line="240" w:lineRule="auto"/>
        <w:ind w:firstLine="720"/>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Bu çağrının temel amacı iki yönlüdür:</w:t>
      </w:r>
    </w:p>
    <w:p w14:paraId="6F0834CD" w14:textId="77777777" w:rsidR="00A17F41" w:rsidRPr="00A17F41" w:rsidRDefault="00A17F41" w:rsidP="00A17F41">
      <w:p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LOT 1: Mevcut Ağ üyelerinin, gençlerin güçlenmesi ve toplumdaki konumlarının iyileştirilmesi sürecine katkılarını sürdürmelerini desteklemek ve bu doğrultuda kurumsal kapasitelerini güçlendirmek;</w:t>
      </w:r>
    </w:p>
    <w:p w14:paraId="7C368CBC" w14:textId="77777777" w:rsidR="00A17F41" w:rsidRPr="00A17F41" w:rsidRDefault="00A17F41" w:rsidP="00A17F41">
      <w:p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LOT 2: Daha küçük ölçekli yerel STK’ların, gençliğin sistematik ve anlamlı katılımını artırmaya yönelik yerel, ulusal ve bölgesel düzeydeki çalışmalara doğrudan katılımını sağlamak üzere ağı genişletmektir.</w:t>
      </w:r>
    </w:p>
    <w:p w14:paraId="53C1F671" w14:textId="77777777" w:rsidR="00A17F41" w:rsidRPr="00A17F41" w:rsidRDefault="00A17F41" w:rsidP="00A17F41">
      <w:pPr>
        <w:spacing w:after="80" w:line="240" w:lineRule="auto"/>
        <w:jc w:val="both"/>
        <w:rPr>
          <w:rFonts w:ascii="Times New Roman" w:hAnsi="Times New Roman" w:cs="Times New Roman"/>
          <w:sz w:val="24"/>
          <w:szCs w:val="24"/>
          <w:lang w:val="tr-TR"/>
        </w:rPr>
      </w:pPr>
    </w:p>
    <w:p w14:paraId="5318277D" w14:textId="77777777" w:rsidR="00A17F41" w:rsidRPr="00A17F41" w:rsidRDefault="00A17F41" w:rsidP="00A17F41">
      <w:pPr>
        <w:spacing w:after="80" w:line="240" w:lineRule="auto"/>
        <w:ind w:firstLine="720"/>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Bu çağrı, yerel STK’ların çalışmalarının sürekliliğini sağlama taahhüdüne dayanmakta ve gençlerin—özellikle savunmasız ve yeterince temsil edilmeyen grupların—karşılaştığı zorluklara etkili yanıtlar üretmeyi; ulusal ve yerel süreçlerle daha iyi uyumlanmayı amaçlamaktadır.</w:t>
      </w:r>
    </w:p>
    <w:p w14:paraId="60AFC977" w14:textId="77777777" w:rsidR="00A17F41" w:rsidRPr="00A17F41" w:rsidRDefault="00A17F41" w:rsidP="00A17F41">
      <w:pPr>
        <w:spacing w:after="80" w:line="240" w:lineRule="auto"/>
        <w:jc w:val="both"/>
        <w:rPr>
          <w:rFonts w:ascii="Times New Roman" w:hAnsi="Times New Roman" w:cs="Times New Roman"/>
          <w:sz w:val="24"/>
          <w:szCs w:val="24"/>
          <w:lang w:val="tr-TR"/>
        </w:rPr>
      </w:pPr>
    </w:p>
    <w:p w14:paraId="52D0B904" w14:textId="1E14CD8F" w:rsidR="00A17F41" w:rsidRPr="00A17F41" w:rsidRDefault="00A17F41" w:rsidP="00A17F41">
      <w:p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 xml:space="preserve">Bu çağrı, her bir proje ülkesinde eş zamanlı olarak ancak ayrı ayrı ilan edilecek ve uygulanacaktır. Sırbistan’da çağrının yürütücüsü </w:t>
      </w:r>
      <w:r>
        <w:rPr>
          <w:rFonts w:ascii="Times New Roman" w:hAnsi="Times New Roman" w:cs="Times New Roman"/>
          <w:sz w:val="24"/>
          <w:szCs w:val="24"/>
          <w:lang w:val="tr-TR"/>
        </w:rPr>
        <w:t xml:space="preserve">Toplum Gönüllüleri </w:t>
      </w:r>
      <w:r w:rsidRPr="00A17F41">
        <w:rPr>
          <w:rFonts w:ascii="Times New Roman" w:hAnsi="Times New Roman" w:cs="Times New Roman"/>
          <w:sz w:val="24"/>
          <w:szCs w:val="24"/>
          <w:lang w:val="tr-TR"/>
        </w:rPr>
        <w:t>Vakfı’dır.</w:t>
      </w:r>
    </w:p>
    <w:p w14:paraId="2C569FAD" w14:textId="193A8C63" w:rsidR="00A17F41" w:rsidRDefault="00A17F41" w:rsidP="00A17F41">
      <w:pPr>
        <w:spacing w:after="80" w:line="240" w:lineRule="auto"/>
        <w:jc w:val="both"/>
        <w:rPr>
          <w:rFonts w:ascii="Times New Roman" w:hAnsi="Times New Roman" w:cs="Times New Roman"/>
          <w:sz w:val="24"/>
          <w:szCs w:val="24"/>
          <w:lang w:val="tr-TR"/>
        </w:rPr>
      </w:pPr>
    </w:p>
    <w:p w14:paraId="76288283" w14:textId="0B23BF8C" w:rsidR="00A17F41" w:rsidRDefault="00A17F41" w:rsidP="00A17F41">
      <w:pPr>
        <w:spacing w:after="80" w:line="240" w:lineRule="auto"/>
        <w:jc w:val="both"/>
        <w:rPr>
          <w:rFonts w:ascii="Times New Roman" w:hAnsi="Times New Roman" w:cs="Times New Roman"/>
          <w:sz w:val="24"/>
          <w:szCs w:val="24"/>
          <w:lang w:val="tr-TR"/>
        </w:rPr>
      </w:pPr>
    </w:p>
    <w:p w14:paraId="75781D52" w14:textId="1C09CD39" w:rsidR="00A17F41" w:rsidRDefault="00A17F41" w:rsidP="00A17F41">
      <w:pPr>
        <w:spacing w:after="80" w:line="240" w:lineRule="auto"/>
        <w:jc w:val="both"/>
        <w:rPr>
          <w:rFonts w:ascii="Times New Roman" w:hAnsi="Times New Roman" w:cs="Times New Roman"/>
          <w:sz w:val="24"/>
          <w:szCs w:val="24"/>
          <w:lang w:val="tr-TR"/>
        </w:rPr>
      </w:pPr>
    </w:p>
    <w:p w14:paraId="3F12D60E" w14:textId="50AAA277" w:rsidR="00A17F41" w:rsidRDefault="00A17F41" w:rsidP="00A17F41">
      <w:pPr>
        <w:spacing w:after="80" w:line="240" w:lineRule="auto"/>
        <w:jc w:val="both"/>
        <w:rPr>
          <w:rFonts w:ascii="Times New Roman" w:hAnsi="Times New Roman" w:cs="Times New Roman"/>
          <w:sz w:val="24"/>
          <w:szCs w:val="24"/>
          <w:lang w:val="tr-TR"/>
        </w:rPr>
      </w:pPr>
    </w:p>
    <w:p w14:paraId="3D277EBB" w14:textId="77777777" w:rsidR="00A17F41" w:rsidRPr="00A17F41" w:rsidRDefault="00A17F41" w:rsidP="00A17F41">
      <w:pPr>
        <w:spacing w:after="80" w:line="240" w:lineRule="auto"/>
        <w:jc w:val="both"/>
        <w:rPr>
          <w:rFonts w:ascii="Times New Roman" w:hAnsi="Times New Roman" w:cs="Times New Roman"/>
          <w:sz w:val="24"/>
          <w:szCs w:val="24"/>
          <w:lang w:val="tr-TR"/>
        </w:rPr>
      </w:pPr>
    </w:p>
    <w:p w14:paraId="123885CB" w14:textId="76759DFB" w:rsidR="00A17F41" w:rsidRPr="00A17F41" w:rsidRDefault="00A17F41" w:rsidP="00A17F41">
      <w:p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lastRenderedPageBreak/>
        <w:t>Alt Hibe Bilgileri:</w:t>
      </w:r>
    </w:p>
    <w:p w14:paraId="1D717D56" w14:textId="77777777" w:rsidR="00A17F41" w:rsidRPr="00A17F41" w:rsidRDefault="00A17F41" w:rsidP="00A17F41">
      <w:p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LOT 1: Hibe başına azami tutar: 8.000 EUR</w:t>
      </w:r>
    </w:p>
    <w:p w14:paraId="25E215C0" w14:textId="77777777" w:rsidR="00A17F41" w:rsidRPr="00A17F41" w:rsidRDefault="00A17F41" w:rsidP="00A17F41">
      <w:p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 xml:space="preserve">Bu tutar, başvuru sahiplerinden beklenen eş finansmanı içermektedir. Sözleşme </w:t>
      </w:r>
      <w:proofErr w:type="spellStart"/>
      <w:r w:rsidRPr="00A17F41">
        <w:rPr>
          <w:rFonts w:ascii="Times New Roman" w:hAnsi="Times New Roman" w:cs="Times New Roman"/>
          <w:sz w:val="24"/>
          <w:szCs w:val="24"/>
          <w:lang w:val="tr-TR"/>
        </w:rPr>
        <w:t>Makamı’ndan</w:t>
      </w:r>
      <w:proofErr w:type="spellEnd"/>
      <w:r w:rsidRPr="00A17F41">
        <w:rPr>
          <w:rFonts w:ascii="Times New Roman" w:hAnsi="Times New Roman" w:cs="Times New Roman"/>
          <w:sz w:val="24"/>
          <w:szCs w:val="24"/>
          <w:lang w:val="tr-TR"/>
        </w:rPr>
        <w:t xml:space="preserve"> sağlanan hibe, toplam uygun proje maliyetinin en fazla %90’ını karşılayabilir. Geri kalan %10’luk kısım, Avrupa Birliği genel bütçesi veya Avrupa Kalkınma Fonu dışındaki kaynaklardan sağlanmalıdır.</w:t>
      </w:r>
    </w:p>
    <w:p w14:paraId="6D69217E" w14:textId="77777777" w:rsidR="00A17F41" w:rsidRPr="00A17F41" w:rsidRDefault="00A17F41" w:rsidP="00A17F41">
      <w:pPr>
        <w:spacing w:after="80" w:line="240" w:lineRule="auto"/>
        <w:jc w:val="both"/>
        <w:rPr>
          <w:rFonts w:ascii="Times New Roman" w:hAnsi="Times New Roman" w:cs="Times New Roman"/>
          <w:sz w:val="24"/>
          <w:szCs w:val="24"/>
          <w:lang w:val="tr-TR"/>
        </w:rPr>
      </w:pPr>
    </w:p>
    <w:p w14:paraId="7536C832" w14:textId="77777777" w:rsidR="00A17F41" w:rsidRPr="00A17F41" w:rsidRDefault="00A17F41" w:rsidP="00A17F41">
      <w:p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LOT 2: Hibe başına azami tutar: 5.000 EUR</w:t>
      </w:r>
    </w:p>
    <w:p w14:paraId="51AB15E2" w14:textId="77777777" w:rsidR="00A17F41" w:rsidRPr="00A17F41" w:rsidRDefault="00A17F41" w:rsidP="00A17F41">
      <w:p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Aynı şekilde, bu tutar eş finansmanı içerir ve toplam uygun maliyetin en fazla %90’ı hibe olarak karşılanabilir. Kalan %10, AB dışı kaynaklardan sağlanmalıdır.</w:t>
      </w:r>
    </w:p>
    <w:p w14:paraId="2B735259" w14:textId="77777777" w:rsidR="00A17F41" w:rsidRPr="00A17F41" w:rsidRDefault="00A17F41" w:rsidP="00A17F41">
      <w:pPr>
        <w:spacing w:after="80" w:line="240" w:lineRule="auto"/>
        <w:jc w:val="both"/>
        <w:rPr>
          <w:rFonts w:ascii="Times New Roman" w:hAnsi="Times New Roman" w:cs="Times New Roman"/>
          <w:sz w:val="24"/>
          <w:szCs w:val="24"/>
          <w:lang w:val="tr-TR"/>
        </w:rPr>
      </w:pPr>
    </w:p>
    <w:p w14:paraId="022AF29B" w14:textId="3E4D5B79" w:rsidR="00A17F41" w:rsidRPr="00A17F41" w:rsidRDefault="00A17F41" w:rsidP="00A17F41">
      <w:pPr>
        <w:spacing w:after="80" w:line="240" w:lineRule="auto"/>
        <w:jc w:val="both"/>
        <w:rPr>
          <w:rFonts w:ascii="Times New Roman" w:hAnsi="Times New Roman" w:cs="Times New Roman"/>
          <w:sz w:val="24"/>
          <w:szCs w:val="24"/>
          <w:lang w:val="tr-TR"/>
        </w:rPr>
      </w:pPr>
      <w:r>
        <w:rPr>
          <w:rFonts w:ascii="Segoe UI Emoji" w:hAnsi="Segoe UI Emoji" w:cs="Segoe UI Emoji"/>
          <w:sz w:val="24"/>
          <w:szCs w:val="24"/>
          <w:lang w:val="tr-TR"/>
        </w:rPr>
        <w:t>P</w:t>
      </w:r>
      <w:r w:rsidRPr="00A17F41">
        <w:rPr>
          <w:rFonts w:ascii="Times New Roman" w:hAnsi="Times New Roman" w:cs="Times New Roman"/>
          <w:sz w:val="24"/>
          <w:szCs w:val="24"/>
          <w:lang w:val="tr-TR"/>
        </w:rPr>
        <w:t>roje Süresi:</w:t>
      </w:r>
    </w:p>
    <w:p w14:paraId="44A9E8B8" w14:textId="77777777" w:rsidR="00A17F41" w:rsidRPr="00A17F41" w:rsidRDefault="00A17F41" w:rsidP="00A17F41">
      <w:p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Bu teklif çağrısı kapsamında desteklenecek projelerin süresi en az 6 ay, en fazla 12 ay olabilir.</w:t>
      </w:r>
    </w:p>
    <w:p w14:paraId="4551AE77" w14:textId="77777777" w:rsidR="00A17F41" w:rsidRPr="00A17F41" w:rsidRDefault="00A17F41" w:rsidP="00A17F41">
      <w:pPr>
        <w:spacing w:after="80" w:line="240" w:lineRule="auto"/>
        <w:jc w:val="both"/>
        <w:rPr>
          <w:rFonts w:ascii="Times New Roman" w:hAnsi="Times New Roman" w:cs="Times New Roman"/>
          <w:sz w:val="24"/>
          <w:szCs w:val="24"/>
          <w:lang w:val="tr-TR"/>
        </w:rPr>
      </w:pPr>
    </w:p>
    <w:p w14:paraId="699EF0FB" w14:textId="793B558E" w:rsidR="00A17F41" w:rsidRPr="00A17F41" w:rsidRDefault="00A17F41" w:rsidP="00A17F41">
      <w:p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Uygulama Yeri:</w:t>
      </w:r>
    </w:p>
    <w:p w14:paraId="118FC0A7" w14:textId="4A65D901" w:rsidR="00A17F41" w:rsidRPr="00A17F41" w:rsidRDefault="00A17F41" w:rsidP="00A17F41">
      <w:p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 xml:space="preserve">Eylemler </w:t>
      </w:r>
      <w:r>
        <w:rPr>
          <w:rFonts w:ascii="Times New Roman" w:hAnsi="Times New Roman" w:cs="Times New Roman"/>
          <w:sz w:val="24"/>
          <w:szCs w:val="24"/>
          <w:lang w:val="tr-TR"/>
        </w:rPr>
        <w:t>Türkiye</w:t>
      </w:r>
      <w:r w:rsidRPr="00A17F41">
        <w:rPr>
          <w:rFonts w:ascii="Times New Roman" w:hAnsi="Times New Roman" w:cs="Times New Roman"/>
          <w:sz w:val="24"/>
          <w:szCs w:val="24"/>
          <w:lang w:val="tr-TR"/>
        </w:rPr>
        <w:t xml:space="preserve"> genelinde uygulanmalıdır.</w:t>
      </w:r>
    </w:p>
    <w:p w14:paraId="6A5C77AB" w14:textId="77777777" w:rsidR="00A17F41" w:rsidRDefault="00A17F41" w:rsidP="00A17F41">
      <w:pPr>
        <w:spacing w:after="80" w:line="240" w:lineRule="auto"/>
        <w:jc w:val="both"/>
        <w:rPr>
          <w:rFonts w:ascii="Times New Roman" w:hAnsi="Times New Roman" w:cs="Times New Roman"/>
          <w:sz w:val="24"/>
          <w:szCs w:val="24"/>
          <w:lang w:val="tr-TR"/>
        </w:rPr>
      </w:pPr>
    </w:p>
    <w:p w14:paraId="3B799531" w14:textId="68359330" w:rsidR="00A17F41" w:rsidRPr="00A17F41" w:rsidRDefault="00A17F41" w:rsidP="00A17F41">
      <w:p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Sunulan Destekler:</w:t>
      </w:r>
    </w:p>
    <w:p w14:paraId="425D5410" w14:textId="77777777" w:rsidR="00A17F41" w:rsidRPr="00A17F41" w:rsidRDefault="00A17F41" w:rsidP="00A17F41">
      <w:p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Mali desteğe ek olarak, seçilen başvuru sahipleri:</w:t>
      </w:r>
    </w:p>
    <w:p w14:paraId="116ECCCC" w14:textId="77777777" w:rsidR="00A17F41" w:rsidRPr="00A17F41" w:rsidRDefault="00A17F41" w:rsidP="00A17F41">
      <w:pPr>
        <w:spacing w:after="80" w:line="240" w:lineRule="auto"/>
        <w:jc w:val="both"/>
        <w:rPr>
          <w:rFonts w:ascii="Times New Roman" w:hAnsi="Times New Roman" w:cs="Times New Roman"/>
          <w:sz w:val="24"/>
          <w:szCs w:val="24"/>
          <w:lang w:val="tr-TR"/>
        </w:rPr>
      </w:pPr>
    </w:p>
    <w:p w14:paraId="3D290322" w14:textId="77777777" w:rsidR="00A17F41" w:rsidRDefault="00A17F41" w:rsidP="00A17F41">
      <w:pPr>
        <w:pStyle w:val="ListeParagraf"/>
        <w:numPr>
          <w:ilvl w:val="0"/>
          <w:numId w:val="3"/>
        </w:num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AB tarafından finanse edilen projelerde mali ve operasyonel yönetim konularında,</w:t>
      </w:r>
    </w:p>
    <w:p w14:paraId="6AF867F8" w14:textId="77777777" w:rsidR="00A17F41" w:rsidRDefault="00A17F41" w:rsidP="00A17F41">
      <w:pPr>
        <w:pStyle w:val="ListeParagraf"/>
        <w:numPr>
          <w:ilvl w:val="0"/>
          <w:numId w:val="3"/>
        </w:num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Ülkeye özgü ve bölgesel düzeyde düzenlenecek yüz yüze ve çevrim içi eğitimlere katılma,</w:t>
      </w:r>
    </w:p>
    <w:p w14:paraId="13E7B768" w14:textId="77777777" w:rsidR="00A17F41" w:rsidRDefault="00A17F41" w:rsidP="00A17F41">
      <w:pPr>
        <w:pStyle w:val="ListeParagraf"/>
        <w:numPr>
          <w:ilvl w:val="0"/>
          <w:numId w:val="3"/>
        </w:num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 xml:space="preserve">Ulusal düzeyde </w:t>
      </w:r>
      <w:proofErr w:type="spellStart"/>
      <w:r w:rsidRPr="00A17F41">
        <w:rPr>
          <w:rFonts w:ascii="Times New Roman" w:hAnsi="Times New Roman" w:cs="Times New Roman"/>
          <w:sz w:val="24"/>
          <w:szCs w:val="24"/>
          <w:lang w:val="tr-TR"/>
        </w:rPr>
        <w:t>mentorluk</w:t>
      </w:r>
      <w:proofErr w:type="spellEnd"/>
      <w:r w:rsidRPr="00A17F41">
        <w:rPr>
          <w:rFonts w:ascii="Times New Roman" w:hAnsi="Times New Roman" w:cs="Times New Roman"/>
          <w:sz w:val="24"/>
          <w:szCs w:val="24"/>
          <w:lang w:val="tr-TR"/>
        </w:rPr>
        <w:t xml:space="preserve"> oturumları ve yenilikçi çözüm geliştirme süreçlerinde destek alma,</w:t>
      </w:r>
    </w:p>
    <w:p w14:paraId="608B7738" w14:textId="6F216E10" w:rsidR="00A17F41" w:rsidRPr="00A17F41" w:rsidRDefault="00A17F41" w:rsidP="00A17F41">
      <w:pPr>
        <w:pStyle w:val="ListeParagraf"/>
        <w:numPr>
          <w:ilvl w:val="0"/>
          <w:numId w:val="3"/>
        </w:num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Ulusal düzeyde düzenlenecek yıllık ağ toplantılarına katılım</w:t>
      </w:r>
      <w:r>
        <w:rPr>
          <w:rFonts w:ascii="Times New Roman" w:hAnsi="Times New Roman" w:cs="Times New Roman"/>
          <w:sz w:val="24"/>
          <w:szCs w:val="24"/>
          <w:lang w:val="tr-TR"/>
        </w:rPr>
        <w:t xml:space="preserve"> </w:t>
      </w:r>
      <w:r w:rsidRPr="00A17F41">
        <w:rPr>
          <w:rFonts w:ascii="Times New Roman" w:hAnsi="Times New Roman" w:cs="Times New Roman"/>
          <w:sz w:val="24"/>
          <w:szCs w:val="24"/>
          <w:lang w:val="tr-TR"/>
        </w:rPr>
        <w:t>gibi çeşitli kapasite geliştirme ve bilgi paylaşımı fırsatlarından da faydalanacaklardır.</w:t>
      </w:r>
    </w:p>
    <w:p w14:paraId="5EBDD056" w14:textId="77777777" w:rsidR="00A17F41" w:rsidRPr="00A17F41" w:rsidRDefault="00A17F41" w:rsidP="00715591">
      <w:pPr>
        <w:spacing w:after="80" w:line="240" w:lineRule="auto"/>
        <w:jc w:val="both"/>
        <w:rPr>
          <w:rFonts w:ascii="Times New Roman" w:hAnsi="Times New Roman" w:cs="Times New Roman"/>
          <w:sz w:val="24"/>
          <w:szCs w:val="24"/>
          <w:lang w:val="tr-TR"/>
        </w:rPr>
      </w:pPr>
    </w:p>
    <w:p w14:paraId="1243DED8" w14:textId="77777777" w:rsidR="00715591" w:rsidRPr="00A17F41" w:rsidRDefault="00715591" w:rsidP="00715591">
      <w:pPr>
        <w:shd w:val="clear" w:color="auto" w:fill="FFFFFF"/>
        <w:spacing w:before="300" w:after="150" w:line="240" w:lineRule="auto"/>
        <w:outlineLvl w:val="3"/>
        <w:rPr>
          <w:rFonts w:ascii="Times New Roman" w:eastAsia="Times New Roman" w:hAnsi="Times New Roman" w:cs="Times New Roman"/>
          <w:b/>
          <w:caps/>
          <w:color w:val="0070C0"/>
          <w:sz w:val="24"/>
          <w:szCs w:val="24"/>
          <w:lang w:val="tr-TR"/>
        </w:rPr>
      </w:pPr>
      <w:r w:rsidRPr="00A17F41">
        <w:rPr>
          <w:rFonts w:ascii="Times New Roman" w:eastAsia="Times New Roman" w:hAnsi="Times New Roman" w:cs="Times New Roman"/>
          <w:b/>
          <w:caps/>
          <w:color w:val="0070C0"/>
          <w:sz w:val="24"/>
          <w:szCs w:val="24"/>
          <w:lang w:val="tr-TR"/>
        </w:rPr>
        <w:t>Uygulama prosedürü</w:t>
      </w:r>
      <w:bookmarkStart w:id="1" w:name="_GoBack"/>
      <w:bookmarkEnd w:id="1"/>
    </w:p>
    <w:p w14:paraId="707281F6" w14:textId="77777777" w:rsidR="00A17F41" w:rsidRDefault="00A17F41" w:rsidP="00A17F41">
      <w:pPr>
        <w:pStyle w:val="ListeParagraf"/>
        <w:numPr>
          <w:ilvl w:val="0"/>
          <w:numId w:val="4"/>
        </w:num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 xml:space="preserve">Çağrı, özellikle marjinal gruplardan gelen gençlerle ve </w:t>
      </w:r>
      <w:proofErr w:type="spellStart"/>
      <w:r w:rsidRPr="00A17F41">
        <w:rPr>
          <w:rFonts w:ascii="Times New Roman" w:hAnsi="Times New Roman" w:cs="Times New Roman"/>
          <w:sz w:val="24"/>
          <w:szCs w:val="24"/>
          <w:lang w:val="tr-TR"/>
        </w:rPr>
        <w:t>sosyo</w:t>
      </w:r>
      <w:proofErr w:type="spellEnd"/>
      <w:r w:rsidRPr="00A17F41">
        <w:rPr>
          <w:rFonts w:ascii="Times New Roman" w:hAnsi="Times New Roman" w:cs="Times New Roman"/>
          <w:sz w:val="24"/>
          <w:szCs w:val="24"/>
          <w:lang w:val="tr-TR"/>
        </w:rPr>
        <w:t>-ekonomik konularla ilgili olarak yerel topluluklarda faaliyet gösteren tüm ilgili sivil toplum kuruluşlarına açıktır.</w:t>
      </w:r>
    </w:p>
    <w:p w14:paraId="5F8A3635" w14:textId="77777777" w:rsidR="00A17F41" w:rsidRDefault="00A17F41" w:rsidP="00A17F41">
      <w:pPr>
        <w:pStyle w:val="ListeParagraf"/>
        <w:numPr>
          <w:ilvl w:val="0"/>
          <w:numId w:val="4"/>
        </w:num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Başvuruların son teslim tarihi: 30 Eylül 2025, saat 16:00 (CET). Başvuruların [Proje Koordinatörü e-posta adresi] üzerinden gönderilmesi gerekmektedir.</w:t>
      </w:r>
    </w:p>
    <w:p w14:paraId="24AA5086" w14:textId="1084FFF9" w:rsidR="00A17F41" w:rsidRDefault="00A17F41" w:rsidP="00A17F41">
      <w:pPr>
        <w:pStyle w:val="ListeParagraf"/>
        <w:numPr>
          <w:ilvl w:val="0"/>
          <w:numId w:val="4"/>
        </w:num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 xml:space="preserve">Başvuru süreciyle ilgili sorular, en geç 15 Eylül 2025 saat 10:00’a kadar, Teklif Çağrısı referansı açıkça belirtilerek, </w:t>
      </w:r>
      <w:r w:rsidR="00455861">
        <w:rPr>
          <w:rFonts w:ascii="Times New Roman" w:hAnsi="Times New Roman" w:cs="Times New Roman"/>
          <w:sz w:val="24"/>
          <w:szCs w:val="24"/>
          <w:lang w:val="tr-TR"/>
        </w:rPr>
        <w:t>Yasin BULAT</w:t>
      </w:r>
      <w:r>
        <w:rPr>
          <w:rFonts w:ascii="Times New Roman" w:hAnsi="Times New Roman" w:cs="Times New Roman"/>
          <w:sz w:val="24"/>
          <w:szCs w:val="24"/>
          <w:lang w:val="tr-TR"/>
        </w:rPr>
        <w:t xml:space="preserve">, </w:t>
      </w:r>
      <w:r w:rsidR="00455861">
        <w:rPr>
          <w:rFonts w:ascii="Times New Roman" w:hAnsi="Times New Roman" w:cs="Times New Roman"/>
          <w:sz w:val="24"/>
          <w:szCs w:val="24"/>
          <w:lang w:val="tr-TR"/>
        </w:rPr>
        <w:t>yasin.bulat</w:t>
      </w:r>
      <w:r>
        <w:rPr>
          <w:rFonts w:ascii="Times New Roman" w:hAnsi="Times New Roman" w:cs="Times New Roman"/>
          <w:sz w:val="24"/>
          <w:szCs w:val="24"/>
          <w:lang w:val="tr-TR"/>
        </w:rPr>
        <w:t>@tog.org.tr</w:t>
      </w:r>
      <w:r w:rsidRPr="00A17F41">
        <w:rPr>
          <w:rFonts w:ascii="Times New Roman" w:hAnsi="Times New Roman" w:cs="Times New Roman"/>
          <w:sz w:val="24"/>
          <w:szCs w:val="24"/>
          <w:lang w:val="tr-TR"/>
        </w:rPr>
        <w:t xml:space="preserve"> adresine e-posta yoluyla iletilebilir.</w:t>
      </w:r>
    </w:p>
    <w:p w14:paraId="651E6267" w14:textId="77777777" w:rsidR="00A17F41" w:rsidRDefault="00A17F41" w:rsidP="00A17F41">
      <w:pPr>
        <w:pStyle w:val="ListeParagraf"/>
        <w:numPr>
          <w:ilvl w:val="0"/>
          <w:numId w:val="4"/>
        </w:num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lastRenderedPageBreak/>
        <w:t>İlgilenen başvuru sahipleri için bir bilgilendirme toplantısı, son başvuru tarihinden en geç 15 gün önce gerçekleştirilecektir. (Takipte kalın!)</w:t>
      </w:r>
    </w:p>
    <w:p w14:paraId="42A5A045" w14:textId="4B97B86D" w:rsidR="00715591" w:rsidRDefault="00A17F41" w:rsidP="00A17F41">
      <w:pPr>
        <w:pStyle w:val="ListeParagraf"/>
        <w:numPr>
          <w:ilvl w:val="0"/>
          <w:numId w:val="4"/>
        </w:numPr>
        <w:spacing w:after="80" w:line="240" w:lineRule="auto"/>
        <w:jc w:val="both"/>
        <w:rPr>
          <w:rFonts w:ascii="Times New Roman" w:hAnsi="Times New Roman" w:cs="Times New Roman"/>
          <w:sz w:val="24"/>
          <w:szCs w:val="24"/>
          <w:lang w:val="tr-TR"/>
        </w:rPr>
      </w:pPr>
      <w:r w:rsidRPr="00A17F41">
        <w:rPr>
          <w:rFonts w:ascii="Times New Roman" w:hAnsi="Times New Roman" w:cs="Times New Roman"/>
          <w:sz w:val="24"/>
          <w:szCs w:val="24"/>
          <w:lang w:val="tr-TR"/>
        </w:rPr>
        <w:t>Başvurular rekabetçi bir değerlendirme süreciyle seçilecek ve yalnızca başvuru formunda sunulan bilgilere dayanacaktır.</w:t>
      </w:r>
    </w:p>
    <w:p w14:paraId="168B0BEF" w14:textId="48E78108" w:rsidR="00264B48" w:rsidRDefault="00264B48" w:rsidP="00A17F41">
      <w:pPr>
        <w:pStyle w:val="ListeParagraf"/>
        <w:numPr>
          <w:ilvl w:val="0"/>
          <w:numId w:val="4"/>
        </w:numPr>
        <w:spacing w:after="8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Tüm başvurular İngilizce yapılacaktır.</w:t>
      </w:r>
    </w:p>
    <w:p w14:paraId="744DF402" w14:textId="23846F47" w:rsidR="00264B48" w:rsidRPr="00A17F41" w:rsidRDefault="00264B48" w:rsidP="00A17F41">
      <w:pPr>
        <w:pStyle w:val="ListeParagraf"/>
        <w:numPr>
          <w:ilvl w:val="0"/>
          <w:numId w:val="4"/>
        </w:numPr>
        <w:spacing w:after="8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Başvurularda eksiksiz </w:t>
      </w:r>
    </w:p>
    <w:p w14:paraId="1D4D7444" w14:textId="77777777" w:rsidR="00A17F41" w:rsidRDefault="00A17F41" w:rsidP="00715591">
      <w:pPr>
        <w:spacing w:after="80" w:line="240" w:lineRule="auto"/>
        <w:jc w:val="both"/>
        <w:rPr>
          <w:rFonts w:ascii="Times New Roman" w:hAnsi="Times New Roman" w:cs="Times New Roman"/>
          <w:b/>
          <w:bCs/>
          <w:sz w:val="24"/>
          <w:szCs w:val="24"/>
          <w:lang w:val="tr-TR"/>
        </w:rPr>
      </w:pPr>
    </w:p>
    <w:p w14:paraId="67023C39" w14:textId="59B203ED" w:rsidR="00715591" w:rsidRPr="00A17F41" w:rsidRDefault="00715591" w:rsidP="00715591">
      <w:pPr>
        <w:spacing w:after="80" w:line="240" w:lineRule="auto"/>
        <w:jc w:val="both"/>
        <w:rPr>
          <w:rFonts w:ascii="Times New Roman" w:hAnsi="Times New Roman" w:cs="Times New Roman"/>
          <w:b/>
          <w:bCs/>
          <w:sz w:val="24"/>
          <w:szCs w:val="24"/>
          <w:lang w:val="tr-TR"/>
        </w:rPr>
      </w:pPr>
      <w:r w:rsidRPr="00A17F41">
        <w:rPr>
          <w:rFonts w:ascii="Times New Roman" w:hAnsi="Times New Roman" w:cs="Times New Roman"/>
          <w:b/>
          <w:bCs/>
          <w:sz w:val="24"/>
          <w:szCs w:val="24"/>
          <w:lang w:val="tr-TR"/>
        </w:rPr>
        <w:t>Aşağıda, başvuru sahipleri için Rehber içerisinde gerekli tüm bilgileri bulabilirsiniz. Rehber içerisinde tam başvuru paketini bulacaksınız.</w:t>
      </w:r>
    </w:p>
    <w:p w14:paraId="5BCD49A5" w14:textId="77777777" w:rsidR="00715591" w:rsidRPr="00A17F41" w:rsidRDefault="00715591" w:rsidP="00715591">
      <w:pPr>
        <w:spacing w:after="80" w:line="240" w:lineRule="auto"/>
        <w:jc w:val="both"/>
        <w:rPr>
          <w:rFonts w:asciiTheme="majorHAnsi" w:hAnsiTheme="majorHAnsi" w:cstheme="majorHAnsi"/>
          <w:sz w:val="24"/>
          <w:szCs w:val="24"/>
          <w:lang w:val="tr-TR"/>
        </w:rPr>
      </w:pPr>
    </w:p>
    <w:p w14:paraId="6D8F3134" w14:textId="77777777" w:rsidR="00715591" w:rsidRPr="00A17F41" w:rsidRDefault="00715591" w:rsidP="00715591">
      <w:pPr>
        <w:spacing w:after="80" w:line="240" w:lineRule="auto"/>
        <w:jc w:val="both"/>
        <w:rPr>
          <w:rFonts w:ascii="Times New Roman" w:hAnsi="Times New Roman" w:cs="Times New Roman"/>
          <w:b/>
          <w:sz w:val="24"/>
          <w:szCs w:val="24"/>
          <w:u w:val="single"/>
          <w:lang w:val="tr-TR"/>
        </w:rPr>
      </w:pPr>
      <w:r w:rsidRPr="00A17F41">
        <w:rPr>
          <w:rFonts w:ascii="Times New Roman" w:hAnsi="Times New Roman" w:cs="Times New Roman"/>
          <w:b/>
          <w:sz w:val="24"/>
          <w:szCs w:val="24"/>
          <w:u w:val="single"/>
          <w:lang w:val="tr-TR"/>
        </w:rPr>
        <w:t>BİLGİ İÇİN BELGE</w:t>
      </w:r>
    </w:p>
    <w:p w14:paraId="295F982B" w14:textId="77777777" w:rsidR="00715591" w:rsidRPr="00A17F41" w:rsidRDefault="00715591" w:rsidP="00715591">
      <w:pPr>
        <w:spacing w:after="80" w:line="240" w:lineRule="auto"/>
        <w:jc w:val="both"/>
        <w:rPr>
          <w:rFonts w:ascii="Times New Roman" w:hAnsi="Times New Roman" w:cs="Times New Roman"/>
          <w:b/>
          <w:sz w:val="24"/>
          <w:szCs w:val="24"/>
          <w:u w:val="single"/>
          <w:lang w:val="tr-TR"/>
        </w:rPr>
      </w:pPr>
    </w:p>
    <w:p w14:paraId="535D8243" w14:textId="51949151" w:rsidR="00715591" w:rsidRPr="00A17F41" w:rsidRDefault="00715591" w:rsidP="00715591">
      <w:pPr>
        <w:spacing w:after="80" w:line="240" w:lineRule="auto"/>
        <w:jc w:val="both"/>
        <w:rPr>
          <w:rFonts w:ascii="Times New Roman" w:hAnsi="Times New Roman" w:cs="Times New Roman"/>
          <w:b/>
          <w:sz w:val="24"/>
          <w:szCs w:val="24"/>
          <w:lang w:val="tr-TR"/>
        </w:rPr>
      </w:pPr>
      <w:r w:rsidRPr="00A17F41">
        <w:rPr>
          <w:rFonts w:ascii="Times New Roman" w:hAnsi="Times New Roman" w:cs="Times New Roman"/>
          <w:b/>
          <w:sz w:val="24"/>
          <w:szCs w:val="24"/>
          <w:lang w:val="tr-TR"/>
        </w:rPr>
        <w:t xml:space="preserve"> </w:t>
      </w:r>
    </w:p>
    <w:p w14:paraId="455B199C" w14:textId="77777777" w:rsidR="00715591" w:rsidRPr="00A17F41" w:rsidRDefault="00715591" w:rsidP="00715591">
      <w:pPr>
        <w:spacing w:after="80" w:line="240" w:lineRule="auto"/>
        <w:jc w:val="both"/>
        <w:rPr>
          <w:rFonts w:ascii="Times New Roman" w:hAnsi="Times New Roman" w:cs="Times New Roman"/>
          <w:b/>
          <w:sz w:val="24"/>
          <w:szCs w:val="24"/>
          <w:u w:val="single"/>
          <w:lang w:val="tr-TR"/>
        </w:rPr>
      </w:pPr>
    </w:p>
    <w:p w14:paraId="3AFDB069" w14:textId="77777777" w:rsidR="00715591" w:rsidRPr="00A17F41" w:rsidRDefault="00715591" w:rsidP="00715591">
      <w:pPr>
        <w:spacing w:after="80" w:line="240" w:lineRule="auto"/>
        <w:jc w:val="both"/>
        <w:rPr>
          <w:rFonts w:asciiTheme="majorHAnsi" w:hAnsiTheme="majorHAnsi" w:cstheme="majorHAnsi"/>
          <w:sz w:val="24"/>
          <w:szCs w:val="24"/>
          <w:lang w:val="tr-TR"/>
        </w:rPr>
      </w:pPr>
    </w:p>
    <w:p w14:paraId="316579D9" w14:textId="77777777" w:rsidR="00715591" w:rsidRPr="00A17F41" w:rsidRDefault="00715591" w:rsidP="00715591">
      <w:pPr>
        <w:spacing w:after="80" w:line="240" w:lineRule="auto"/>
        <w:jc w:val="both"/>
        <w:rPr>
          <w:rFonts w:asciiTheme="majorHAnsi" w:hAnsiTheme="majorHAnsi" w:cstheme="majorHAnsi"/>
          <w:sz w:val="24"/>
          <w:szCs w:val="24"/>
          <w:lang w:val="tr-TR"/>
        </w:rPr>
      </w:pPr>
    </w:p>
    <w:p w14:paraId="1D003B2C" w14:textId="77777777" w:rsidR="00715591" w:rsidRPr="00A17F41" w:rsidRDefault="00715591" w:rsidP="00715591">
      <w:pPr>
        <w:spacing w:after="80" w:line="240" w:lineRule="auto"/>
        <w:jc w:val="both"/>
        <w:rPr>
          <w:rFonts w:asciiTheme="majorHAnsi" w:hAnsiTheme="majorHAnsi" w:cstheme="majorHAnsi"/>
          <w:sz w:val="24"/>
          <w:szCs w:val="24"/>
          <w:lang w:val="tr-TR"/>
        </w:rPr>
      </w:pPr>
    </w:p>
    <w:p w14:paraId="2CEAC972" w14:textId="77777777" w:rsidR="00715591" w:rsidRPr="00A17F41" w:rsidRDefault="00715591" w:rsidP="00715591">
      <w:pPr>
        <w:spacing w:after="80" w:line="240" w:lineRule="auto"/>
        <w:jc w:val="both"/>
        <w:rPr>
          <w:rFonts w:asciiTheme="majorHAnsi" w:hAnsiTheme="majorHAnsi" w:cstheme="majorHAnsi"/>
          <w:sz w:val="24"/>
          <w:szCs w:val="24"/>
          <w:lang w:val="tr-TR"/>
        </w:rPr>
      </w:pPr>
    </w:p>
    <w:p w14:paraId="463EF8AC" w14:textId="77777777" w:rsidR="00715591" w:rsidRPr="00A17F41" w:rsidRDefault="00715591" w:rsidP="00715591">
      <w:pPr>
        <w:spacing w:after="80" w:line="240" w:lineRule="auto"/>
        <w:jc w:val="both"/>
        <w:rPr>
          <w:rFonts w:asciiTheme="majorHAnsi" w:hAnsiTheme="majorHAnsi" w:cstheme="majorHAnsi"/>
          <w:sz w:val="24"/>
          <w:szCs w:val="24"/>
          <w:lang w:val="tr-TR"/>
        </w:rPr>
      </w:pPr>
    </w:p>
    <w:p w14:paraId="134DFF0A" w14:textId="77777777" w:rsidR="008B4AEB" w:rsidRPr="00A17F41" w:rsidRDefault="008B4AEB">
      <w:pPr>
        <w:rPr>
          <w:lang w:val="tr-TR"/>
        </w:rPr>
      </w:pPr>
    </w:p>
    <w:p w14:paraId="0A3D36FC" w14:textId="77777777" w:rsidR="008B4AEB" w:rsidRPr="00A17F41" w:rsidRDefault="008B4AEB">
      <w:pPr>
        <w:rPr>
          <w:lang w:val="tr-TR"/>
        </w:rPr>
      </w:pPr>
    </w:p>
    <w:p w14:paraId="068840DC" w14:textId="2FD83EEE" w:rsidR="008B4AEB" w:rsidRPr="00A17F41" w:rsidRDefault="008B4AEB">
      <w:pPr>
        <w:rPr>
          <w:lang w:val="tr-TR"/>
        </w:rPr>
      </w:pPr>
    </w:p>
    <w:p w14:paraId="11C1F069" w14:textId="77777777" w:rsidR="00715591" w:rsidRPr="00A17F41" w:rsidRDefault="00715591">
      <w:pPr>
        <w:rPr>
          <w:lang w:val="tr-TR"/>
        </w:rPr>
      </w:pPr>
    </w:p>
    <w:p w14:paraId="5830B3B3" w14:textId="09F4A742" w:rsidR="00715591" w:rsidRPr="00A17F41" w:rsidRDefault="00715591">
      <w:pPr>
        <w:rPr>
          <w:lang w:val="tr-TR"/>
        </w:rPr>
      </w:pPr>
    </w:p>
    <w:sectPr w:rsidR="00715591" w:rsidRPr="00A17F41" w:rsidSect="00B806E8">
      <w:headerReference w:type="default" r:id="rId8"/>
      <w:footerReference w:type="default" r:id="rId9"/>
      <w:pgSz w:w="12240" w:h="15840"/>
      <w:pgMar w:top="1440" w:right="1440" w:bottom="1440" w:left="1440" w:header="2160"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DFB9B7" w16cex:dateUtc="2025-07-31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63F5F" w14:textId="77777777" w:rsidR="004C280A" w:rsidRDefault="004C280A" w:rsidP="00B27CC0">
      <w:pPr>
        <w:spacing w:after="0" w:line="240" w:lineRule="auto"/>
      </w:pPr>
      <w:r>
        <w:separator/>
      </w:r>
    </w:p>
  </w:endnote>
  <w:endnote w:type="continuationSeparator" w:id="0">
    <w:p w14:paraId="54EEF55B" w14:textId="77777777" w:rsidR="004C280A" w:rsidRDefault="004C280A" w:rsidP="00B27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69C65" w14:textId="058053A0" w:rsidR="00B806E8" w:rsidRDefault="00B806E8">
    <w:pPr>
      <w:pStyle w:val="AltBilgi"/>
    </w:pPr>
    <w:r>
      <w:rPr>
        <w:noProof/>
      </w:rPr>
      <w:drawing>
        <wp:inline distT="0" distB="0" distL="0" distR="0" wp14:anchorId="750C45CB" wp14:editId="291B6E71">
          <wp:extent cx="5943600" cy="852805"/>
          <wp:effectExtent l="0" t="0" r="0" b="0"/>
          <wp:docPr id="1163075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75630" name="Picture 1163075630"/>
                  <pic:cNvPicPr/>
                </pic:nvPicPr>
                <pic:blipFill>
                  <a:blip r:embed="rId1">
                    <a:extLst>
                      <a:ext uri="{28A0092B-C50C-407E-A947-70E740481C1C}">
                        <a14:useLocalDpi xmlns:a14="http://schemas.microsoft.com/office/drawing/2010/main" val="0"/>
                      </a:ext>
                    </a:extLst>
                  </a:blip>
                  <a:stretch>
                    <a:fillRect/>
                  </a:stretch>
                </pic:blipFill>
                <pic:spPr>
                  <a:xfrm>
                    <a:off x="0" y="0"/>
                    <a:ext cx="5943600" cy="852805"/>
                  </a:xfrm>
                  <a:prstGeom prst="rect">
                    <a:avLst/>
                  </a:prstGeom>
                </pic:spPr>
              </pic:pic>
            </a:graphicData>
          </a:graphic>
        </wp:inline>
      </w:drawing>
    </w:r>
  </w:p>
  <w:p w14:paraId="64B0E7D4" w14:textId="77777777" w:rsidR="00B806E8" w:rsidRDefault="00B806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891D3" w14:textId="77777777" w:rsidR="004C280A" w:rsidRDefault="004C280A" w:rsidP="00B27CC0">
      <w:pPr>
        <w:spacing w:after="0" w:line="240" w:lineRule="auto"/>
      </w:pPr>
      <w:r>
        <w:separator/>
      </w:r>
    </w:p>
  </w:footnote>
  <w:footnote w:type="continuationSeparator" w:id="0">
    <w:p w14:paraId="1893FF25" w14:textId="77777777" w:rsidR="004C280A" w:rsidRDefault="004C280A" w:rsidP="00B27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06124" w14:textId="32CB5C27" w:rsidR="00B27CC0" w:rsidRDefault="008B4AEB">
    <w:pPr>
      <w:pStyle w:val="stBilgi"/>
    </w:pPr>
    <w:r>
      <w:rPr>
        <w:noProof/>
      </w:rPr>
      <w:drawing>
        <wp:anchor distT="0" distB="0" distL="114300" distR="114300" simplePos="0" relativeHeight="251658240" behindDoc="1" locked="0" layoutInCell="1" allowOverlap="1" wp14:anchorId="4C8BFEFD" wp14:editId="6BD72ADD">
          <wp:simplePos x="0" y="0"/>
          <wp:positionH relativeFrom="column">
            <wp:posOffset>-333375</wp:posOffset>
          </wp:positionH>
          <wp:positionV relativeFrom="paragraph">
            <wp:posOffset>-1009650</wp:posOffset>
          </wp:positionV>
          <wp:extent cx="1799134" cy="619125"/>
          <wp:effectExtent l="0" t="0" r="0" b="0"/>
          <wp:wrapNone/>
          <wp:docPr id="3726367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36722" name="Picture 372636722"/>
                  <pic:cNvPicPr/>
                </pic:nvPicPr>
                <pic:blipFill>
                  <a:blip r:embed="rId1">
                    <a:extLst>
                      <a:ext uri="{28A0092B-C50C-407E-A947-70E740481C1C}">
                        <a14:useLocalDpi xmlns:a14="http://schemas.microsoft.com/office/drawing/2010/main" val="0"/>
                      </a:ext>
                    </a:extLst>
                  </a:blip>
                  <a:stretch>
                    <a:fillRect/>
                  </a:stretch>
                </pic:blipFill>
                <pic:spPr>
                  <a:xfrm>
                    <a:off x="0" y="0"/>
                    <a:ext cx="1799134" cy="619125"/>
                  </a:xfrm>
                  <a:prstGeom prst="rect">
                    <a:avLst/>
                  </a:prstGeom>
                </pic:spPr>
              </pic:pic>
            </a:graphicData>
          </a:graphic>
          <wp14:sizeRelH relativeFrom="page">
            <wp14:pctWidth>0</wp14:pctWidth>
          </wp14:sizeRelH>
          <wp14:sizeRelV relativeFrom="page">
            <wp14:pctHeight>0</wp14:pctHeight>
          </wp14:sizeRelV>
        </wp:anchor>
      </w:drawing>
    </w:r>
    <w:r w:rsidR="00B27CC0">
      <w:rPr>
        <w:noProof/>
      </w:rPr>
      <w:drawing>
        <wp:anchor distT="0" distB="0" distL="114300" distR="114300" simplePos="0" relativeHeight="251659264" behindDoc="1" locked="0" layoutInCell="1" allowOverlap="1" wp14:anchorId="0D90BF6D" wp14:editId="05659838">
          <wp:simplePos x="0" y="0"/>
          <wp:positionH relativeFrom="column">
            <wp:posOffset>3990975</wp:posOffset>
          </wp:positionH>
          <wp:positionV relativeFrom="page">
            <wp:posOffset>438150</wp:posOffset>
          </wp:positionV>
          <wp:extent cx="2276475" cy="476885"/>
          <wp:effectExtent l="0" t="0" r="9525" b="0"/>
          <wp:wrapNone/>
          <wp:docPr id="13932441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44182" name="Picture 1393244182"/>
                  <pic:cNvPicPr/>
                </pic:nvPicPr>
                <pic:blipFill>
                  <a:blip r:embed="rId2">
                    <a:extLst>
                      <a:ext uri="{28A0092B-C50C-407E-A947-70E740481C1C}">
                        <a14:useLocalDpi xmlns:a14="http://schemas.microsoft.com/office/drawing/2010/main" val="0"/>
                      </a:ext>
                    </a:extLst>
                  </a:blip>
                  <a:stretch>
                    <a:fillRect/>
                  </a:stretch>
                </pic:blipFill>
                <pic:spPr>
                  <a:xfrm>
                    <a:off x="0" y="0"/>
                    <a:ext cx="2276475" cy="476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C7EBB"/>
    <w:multiLevelType w:val="hybridMultilevel"/>
    <w:tmpl w:val="4A46C4F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40AC4182"/>
    <w:multiLevelType w:val="hybridMultilevel"/>
    <w:tmpl w:val="A292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30635"/>
    <w:multiLevelType w:val="hybridMultilevel"/>
    <w:tmpl w:val="9E26C6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66428E"/>
    <w:multiLevelType w:val="hybridMultilevel"/>
    <w:tmpl w:val="2A7C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C7A"/>
    <w:rsid w:val="00083CB3"/>
    <w:rsid w:val="000F1B74"/>
    <w:rsid w:val="000F43D5"/>
    <w:rsid w:val="00264B48"/>
    <w:rsid w:val="00345255"/>
    <w:rsid w:val="00455861"/>
    <w:rsid w:val="004C280A"/>
    <w:rsid w:val="006349A4"/>
    <w:rsid w:val="00640CF0"/>
    <w:rsid w:val="00675D17"/>
    <w:rsid w:val="00702DB2"/>
    <w:rsid w:val="00715591"/>
    <w:rsid w:val="0077532A"/>
    <w:rsid w:val="00782461"/>
    <w:rsid w:val="007E392E"/>
    <w:rsid w:val="007F2D9B"/>
    <w:rsid w:val="00843AB2"/>
    <w:rsid w:val="0086161F"/>
    <w:rsid w:val="008B4AEB"/>
    <w:rsid w:val="008C1B10"/>
    <w:rsid w:val="00907B32"/>
    <w:rsid w:val="00A17F41"/>
    <w:rsid w:val="00AB62CC"/>
    <w:rsid w:val="00AE7CA8"/>
    <w:rsid w:val="00B27CC0"/>
    <w:rsid w:val="00B806E8"/>
    <w:rsid w:val="00BB0AE4"/>
    <w:rsid w:val="00BF4F13"/>
    <w:rsid w:val="00C8113D"/>
    <w:rsid w:val="00D136C8"/>
    <w:rsid w:val="00E57974"/>
    <w:rsid w:val="00EB1C7A"/>
    <w:rsid w:val="00EC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259F4"/>
  <w15:chartTrackingRefBased/>
  <w15:docId w15:val="{2FCFA089-21F1-403B-92E0-58A00CF5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EB1C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B1C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B1C7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B1C7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B1C7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B1C7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B1C7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B1C7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B1C7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B1C7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B1C7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B1C7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B1C7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B1C7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B1C7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B1C7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B1C7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B1C7A"/>
    <w:rPr>
      <w:rFonts w:eastAsiaTheme="majorEastAsia" w:cstheme="majorBidi"/>
      <w:color w:val="272727" w:themeColor="text1" w:themeTint="D8"/>
    </w:rPr>
  </w:style>
  <w:style w:type="paragraph" w:styleId="KonuBal">
    <w:name w:val="Title"/>
    <w:basedOn w:val="Normal"/>
    <w:next w:val="Normal"/>
    <w:link w:val="KonuBalChar"/>
    <w:uiPriority w:val="10"/>
    <w:qFormat/>
    <w:rsid w:val="00EB1C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B1C7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B1C7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B1C7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B1C7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B1C7A"/>
    <w:rPr>
      <w:i/>
      <w:iCs/>
      <w:color w:val="404040" w:themeColor="text1" w:themeTint="BF"/>
    </w:rPr>
  </w:style>
  <w:style w:type="paragraph" w:styleId="ListeParagraf">
    <w:name w:val="List Paragraph"/>
    <w:basedOn w:val="Normal"/>
    <w:uiPriority w:val="34"/>
    <w:qFormat/>
    <w:rsid w:val="00EB1C7A"/>
    <w:pPr>
      <w:ind w:left="720"/>
      <w:contextualSpacing/>
    </w:pPr>
  </w:style>
  <w:style w:type="character" w:styleId="GlVurgulama">
    <w:name w:val="Intense Emphasis"/>
    <w:basedOn w:val="VarsaylanParagrafYazTipi"/>
    <w:uiPriority w:val="21"/>
    <w:qFormat/>
    <w:rsid w:val="00EB1C7A"/>
    <w:rPr>
      <w:i/>
      <w:iCs/>
      <w:color w:val="2F5496" w:themeColor="accent1" w:themeShade="BF"/>
    </w:rPr>
  </w:style>
  <w:style w:type="paragraph" w:styleId="GlAlnt">
    <w:name w:val="Intense Quote"/>
    <w:basedOn w:val="Normal"/>
    <w:next w:val="Normal"/>
    <w:link w:val="GlAlntChar"/>
    <w:uiPriority w:val="30"/>
    <w:qFormat/>
    <w:rsid w:val="00EB1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B1C7A"/>
    <w:rPr>
      <w:i/>
      <w:iCs/>
      <w:color w:val="2F5496" w:themeColor="accent1" w:themeShade="BF"/>
    </w:rPr>
  </w:style>
  <w:style w:type="character" w:styleId="GlBavuru">
    <w:name w:val="Intense Reference"/>
    <w:basedOn w:val="VarsaylanParagrafYazTipi"/>
    <w:uiPriority w:val="32"/>
    <w:qFormat/>
    <w:rsid w:val="00EB1C7A"/>
    <w:rPr>
      <w:b/>
      <w:bCs/>
      <w:smallCaps/>
      <w:color w:val="2F5496" w:themeColor="accent1" w:themeShade="BF"/>
      <w:spacing w:val="5"/>
    </w:rPr>
  </w:style>
  <w:style w:type="paragraph" w:styleId="stBilgi">
    <w:name w:val="header"/>
    <w:basedOn w:val="Normal"/>
    <w:link w:val="stBilgiChar"/>
    <w:uiPriority w:val="99"/>
    <w:unhideWhenUsed/>
    <w:rsid w:val="00B27CC0"/>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B27CC0"/>
  </w:style>
  <w:style w:type="paragraph" w:styleId="AltBilgi">
    <w:name w:val="footer"/>
    <w:basedOn w:val="Normal"/>
    <w:link w:val="AltBilgiChar"/>
    <w:uiPriority w:val="99"/>
    <w:unhideWhenUsed/>
    <w:rsid w:val="00B27CC0"/>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B27CC0"/>
  </w:style>
  <w:style w:type="character" w:styleId="DipnotBavurusu">
    <w:name w:val="footnote reference"/>
    <w:aliases w:val="ftref,BVI fnr Char,Appel note de bas de p..BVI fnr Car Car Car Car,BVI fnr Car Car,BVI fnr Car,BVI fnr Car Car Car Car,BVI fnr Car Car Car Car Char,BVI fnr,Appel note de bas de p.,Char Char,BVI fnr Zchn,BVI fnr Char Zchn,Re,Ref"/>
    <w:basedOn w:val="VarsaylanParagrafYazTipi"/>
    <w:link w:val="Char2"/>
    <w:uiPriority w:val="99"/>
    <w:qFormat/>
    <w:rsid w:val="00715591"/>
    <w:rPr>
      <w:rFonts w:ascii="Times New Roman" w:hAnsi="Times New Roman" w:cs="Times New Roman"/>
      <w:sz w:val="16"/>
      <w:vertAlign w:val="superscript"/>
      <w:lang w:eastAsia="x-none"/>
    </w:rPr>
  </w:style>
  <w:style w:type="paragraph" w:customStyle="1" w:styleId="Char2">
    <w:name w:val="Char2"/>
    <w:basedOn w:val="Normal"/>
    <w:link w:val="DipnotBavurusu"/>
    <w:uiPriority w:val="99"/>
    <w:rsid w:val="00715591"/>
    <w:pPr>
      <w:spacing w:line="240" w:lineRule="exact"/>
    </w:pPr>
    <w:rPr>
      <w:rFonts w:ascii="Times New Roman" w:hAnsi="Times New Roman" w:cs="Times New Roman"/>
      <w:sz w:val="16"/>
      <w:vertAlign w:val="superscript"/>
      <w:lang w:eastAsia="x-none"/>
    </w:rPr>
  </w:style>
  <w:style w:type="character" w:styleId="Kpr">
    <w:name w:val="Hyperlink"/>
    <w:basedOn w:val="VarsaylanParagrafYazTipi"/>
    <w:uiPriority w:val="99"/>
    <w:unhideWhenUsed/>
    <w:rsid w:val="00715591"/>
    <w:rPr>
      <w:color w:val="0563C1" w:themeColor="hyperlink"/>
      <w:u w:val="single"/>
    </w:rPr>
  </w:style>
  <w:style w:type="character" w:styleId="AklamaBavurusu">
    <w:name w:val="annotation reference"/>
    <w:basedOn w:val="VarsaylanParagrafYazTipi"/>
    <w:uiPriority w:val="99"/>
    <w:semiHidden/>
    <w:unhideWhenUsed/>
    <w:rsid w:val="00083CB3"/>
    <w:rPr>
      <w:sz w:val="16"/>
      <w:szCs w:val="16"/>
    </w:rPr>
  </w:style>
  <w:style w:type="paragraph" w:styleId="AklamaMetni">
    <w:name w:val="annotation text"/>
    <w:basedOn w:val="Normal"/>
    <w:link w:val="AklamaMetniChar"/>
    <w:uiPriority w:val="99"/>
    <w:semiHidden/>
    <w:unhideWhenUsed/>
    <w:rsid w:val="00083CB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83CB3"/>
    <w:rPr>
      <w:sz w:val="20"/>
      <w:szCs w:val="20"/>
    </w:rPr>
  </w:style>
  <w:style w:type="paragraph" w:styleId="AklamaKonusu">
    <w:name w:val="annotation subject"/>
    <w:basedOn w:val="AklamaMetni"/>
    <w:next w:val="AklamaMetni"/>
    <w:link w:val="AklamaKonusuChar"/>
    <w:uiPriority w:val="99"/>
    <w:semiHidden/>
    <w:unhideWhenUsed/>
    <w:rsid w:val="00083CB3"/>
    <w:rPr>
      <w:b/>
      <w:bCs/>
    </w:rPr>
  </w:style>
  <w:style w:type="character" w:customStyle="1" w:styleId="AklamaKonusuChar">
    <w:name w:val="Açıklama Konusu Char"/>
    <w:basedOn w:val="AklamaMetniChar"/>
    <w:link w:val="AklamaKonusu"/>
    <w:uiPriority w:val="99"/>
    <w:semiHidden/>
    <w:rsid w:val="00083CB3"/>
    <w:rPr>
      <w:b/>
      <w:bCs/>
      <w:sz w:val="20"/>
      <w:szCs w:val="20"/>
    </w:rPr>
  </w:style>
  <w:style w:type="paragraph" w:styleId="BalonMetni">
    <w:name w:val="Balloon Text"/>
    <w:basedOn w:val="Normal"/>
    <w:link w:val="BalonMetniChar"/>
    <w:uiPriority w:val="99"/>
    <w:semiHidden/>
    <w:unhideWhenUsed/>
    <w:rsid w:val="00D136C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36C8"/>
    <w:rPr>
      <w:rFonts w:ascii="Segoe UI" w:hAnsi="Segoe UI" w:cs="Segoe UI"/>
      <w:sz w:val="18"/>
      <w:szCs w:val="18"/>
    </w:rPr>
  </w:style>
  <w:style w:type="character" w:styleId="YerTutucuMetni">
    <w:name w:val="Placeholder Text"/>
    <w:basedOn w:val="VarsaylanParagrafYazTipi"/>
    <w:uiPriority w:val="99"/>
    <w:semiHidden/>
    <w:rsid w:val="00A17F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1054</Words>
  <Characters>6009</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lupsor.elena@outlook.com</dc:creator>
  <cp:keywords/>
  <dc:description/>
  <cp:lastModifiedBy>Yasin Bulat</cp:lastModifiedBy>
  <cp:revision>4</cp:revision>
  <dcterms:created xsi:type="dcterms:W3CDTF">2025-07-31T08:09:00Z</dcterms:created>
  <dcterms:modified xsi:type="dcterms:W3CDTF">2025-09-04T11:06:00Z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8290a3f8-b3af-41bf-b75a-094d5ce3be43</vt:lpwstr>
  </property>
</Properties>
</file>